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486B66" w14:textId="77777777" w:rsidR="008567FD" w:rsidRDefault="008567FD">
      <w:pPr>
        <w:spacing w:after="240" w:line="240" w:lineRule="auto"/>
        <w:jc w:val="both"/>
        <w:rPr>
          <w:rFonts w:ascii="Arial" w:eastAsia="Arial" w:hAnsi="Arial" w:cs="Arial"/>
          <w:b/>
          <w:sz w:val="36"/>
          <w:szCs w:val="36"/>
        </w:rPr>
      </w:pPr>
      <w:bookmarkStart w:id="0" w:name="_heading=h.30j0zll" w:colFirst="0" w:colLast="0"/>
      <w:bookmarkEnd w:id="0"/>
    </w:p>
    <w:tbl>
      <w:tblPr>
        <w:tblStyle w:val="af3"/>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8567FD" w14:paraId="0BF44AF6" w14:textId="77777777">
        <w:tc>
          <w:tcPr>
            <w:tcW w:w="9026" w:type="dxa"/>
            <w:shd w:val="clear" w:color="auto" w:fill="auto"/>
            <w:tcMar>
              <w:top w:w="100" w:type="dxa"/>
              <w:left w:w="100" w:type="dxa"/>
              <w:bottom w:w="100" w:type="dxa"/>
              <w:right w:w="100" w:type="dxa"/>
            </w:tcMar>
          </w:tcPr>
          <w:p w14:paraId="7D4CF231" w14:textId="77777777" w:rsidR="008567FD" w:rsidRDefault="0013396B">
            <w:pPr>
              <w:widowControl w:val="0"/>
              <w:rPr>
                <w:rFonts w:ascii="Arial" w:eastAsia="Arial" w:hAnsi="Arial" w:cs="Arial"/>
                <w:b/>
                <w:highlight w:val="cyan"/>
              </w:rPr>
            </w:pPr>
            <w:r>
              <w:rPr>
                <w:rFonts w:ascii="Arial" w:eastAsia="Arial" w:hAnsi="Arial" w:cs="Arial"/>
                <w:b/>
              </w:rPr>
              <w:t>PLEASE RETAIN A COPY OF THIS SCHEDULE AS THIS FORMS PART OF YOUR CALL-OFF CONTRACT</w:t>
            </w:r>
          </w:p>
        </w:tc>
      </w:tr>
    </w:tbl>
    <w:p w14:paraId="35EC72B2" w14:textId="77777777" w:rsidR="008567FD" w:rsidRDefault="008567FD">
      <w:pPr>
        <w:spacing w:after="240" w:line="240" w:lineRule="auto"/>
        <w:jc w:val="both"/>
        <w:rPr>
          <w:rFonts w:ascii="Arial" w:eastAsia="Arial" w:hAnsi="Arial" w:cs="Arial"/>
          <w:smallCaps/>
          <w:sz w:val="36"/>
          <w:szCs w:val="36"/>
        </w:rPr>
      </w:pPr>
    </w:p>
    <w:p w14:paraId="4AF8DA66" w14:textId="77777777" w:rsidR="008567FD" w:rsidRDefault="0013396B">
      <w:pPr>
        <w:keepNext/>
        <w:pBdr>
          <w:top w:val="nil"/>
          <w:left w:val="nil"/>
          <w:bottom w:val="nil"/>
          <w:right w:val="nil"/>
          <w:between w:val="nil"/>
        </w:pBdr>
        <w:spacing w:after="240" w:line="240" w:lineRule="auto"/>
        <w:rPr>
          <w:rFonts w:ascii="Arial" w:eastAsia="Arial" w:hAnsi="Arial" w:cs="Arial"/>
          <w:smallCaps/>
          <w:color w:val="000000"/>
          <w:sz w:val="36"/>
          <w:szCs w:val="36"/>
        </w:rPr>
      </w:pPr>
      <w:r>
        <w:rPr>
          <w:rFonts w:ascii="Arial" w:eastAsia="Arial" w:hAnsi="Arial" w:cs="Arial"/>
          <w:b/>
          <w:color w:val="000000"/>
          <w:sz w:val="36"/>
          <w:szCs w:val="36"/>
        </w:rPr>
        <w:t>Call-Off Schedule 14 (Service Levels)</w:t>
      </w:r>
    </w:p>
    <w:p w14:paraId="47DF5CB0" w14:textId="77777777" w:rsidR="008567FD" w:rsidRDefault="0013396B">
      <w:pPr>
        <w:numPr>
          <w:ilvl w:val="0"/>
          <w:numId w:val="2"/>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r>
        <w:rPr>
          <w:rFonts w:ascii="Arial" w:eastAsia="Arial" w:hAnsi="Arial" w:cs="Arial"/>
          <w:b/>
          <w:color w:val="000000"/>
          <w:sz w:val="24"/>
          <w:szCs w:val="24"/>
        </w:rPr>
        <w:t>Definitions</w:t>
      </w:r>
    </w:p>
    <w:p w14:paraId="5EF39969" w14:textId="77777777" w:rsidR="008567FD" w:rsidRDefault="0013396B">
      <w:pPr>
        <w:numPr>
          <w:ilvl w:val="1"/>
          <w:numId w:val="2"/>
        </w:numPr>
        <w:pBdr>
          <w:top w:val="nil"/>
          <w:left w:val="nil"/>
          <w:bottom w:val="nil"/>
          <w:right w:val="nil"/>
          <w:between w:val="nil"/>
        </w:pBdr>
        <w:spacing w:before="120" w:after="120" w:line="240" w:lineRule="auto"/>
        <w:rPr>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f4"/>
        <w:tblW w:w="8363" w:type="dxa"/>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0"/>
        <w:gridCol w:w="5953"/>
      </w:tblGrid>
      <w:tr w:rsidR="008567FD" w14:paraId="48530F32" w14:textId="77777777">
        <w:tc>
          <w:tcPr>
            <w:tcW w:w="2410" w:type="dxa"/>
            <w:shd w:val="clear" w:color="auto" w:fill="auto"/>
          </w:tcPr>
          <w:p w14:paraId="42514A4E" w14:textId="77777777" w:rsidR="008567FD" w:rsidRDefault="008567FD">
            <w:pPr>
              <w:pBdr>
                <w:top w:val="nil"/>
                <w:left w:val="nil"/>
                <w:bottom w:val="nil"/>
                <w:right w:val="nil"/>
                <w:between w:val="nil"/>
              </w:pBdr>
              <w:spacing w:after="120"/>
              <w:rPr>
                <w:color w:val="000000"/>
                <w:sz w:val="24"/>
                <w:szCs w:val="24"/>
              </w:rPr>
            </w:pPr>
          </w:p>
          <w:p w14:paraId="439C6129" w14:textId="77777777" w:rsidR="008567FD" w:rsidRDefault="0013396B">
            <w:pPr>
              <w:pBdr>
                <w:top w:val="nil"/>
                <w:left w:val="nil"/>
                <w:bottom w:val="nil"/>
                <w:right w:val="nil"/>
                <w:between w:val="nil"/>
              </w:pBdr>
              <w:spacing w:after="120"/>
              <w:rPr>
                <w:color w:val="000000"/>
                <w:sz w:val="24"/>
                <w:szCs w:val="24"/>
              </w:rPr>
            </w:pPr>
            <w:r>
              <w:rPr>
                <w:rFonts w:ascii="Arial" w:eastAsia="Arial" w:hAnsi="Arial" w:cs="Arial"/>
                <w:b/>
                <w:color w:val="000000"/>
                <w:sz w:val="24"/>
                <w:szCs w:val="24"/>
              </w:rPr>
              <w:t>“Critical Service Level Failure”</w:t>
            </w:r>
          </w:p>
          <w:p w14:paraId="61483F07" w14:textId="77777777" w:rsidR="008567FD" w:rsidRDefault="008567FD">
            <w:pPr>
              <w:pBdr>
                <w:top w:val="nil"/>
                <w:left w:val="nil"/>
                <w:bottom w:val="nil"/>
                <w:right w:val="nil"/>
                <w:between w:val="nil"/>
              </w:pBdr>
              <w:spacing w:after="120"/>
              <w:rPr>
                <w:color w:val="000000"/>
                <w:sz w:val="24"/>
                <w:szCs w:val="24"/>
              </w:rPr>
            </w:pPr>
          </w:p>
        </w:tc>
        <w:tc>
          <w:tcPr>
            <w:tcW w:w="5953" w:type="dxa"/>
            <w:shd w:val="clear" w:color="auto" w:fill="auto"/>
          </w:tcPr>
          <w:p w14:paraId="2BA6E748" w14:textId="77777777" w:rsidR="008567FD" w:rsidRDefault="008567FD">
            <w:pPr>
              <w:pBdr>
                <w:top w:val="nil"/>
                <w:left w:val="nil"/>
                <w:bottom w:val="nil"/>
                <w:right w:val="nil"/>
                <w:between w:val="nil"/>
              </w:pBdr>
              <w:tabs>
                <w:tab w:val="left" w:pos="-9"/>
                <w:tab w:val="left" w:pos="-179"/>
              </w:tabs>
              <w:spacing w:after="120"/>
              <w:ind w:left="170" w:hanging="170"/>
              <w:jc w:val="both"/>
              <w:rPr>
                <w:color w:val="000000"/>
                <w:sz w:val="24"/>
                <w:szCs w:val="24"/>
              </w:rPr>
            </w:pPr>
          </w:p>
          <w:p w14:paraId="3D0372AC" w14:textId="77777777" w:rsidR="008567FD" w:rsidRDefault="0013396B">
            <w:pPr>
              <w:pBdr>
                <w:top w:val="nil"/>
                <w:left w:val="nil"/>
                <w:bottom w:val="nil"/>
                <w:right w:val="nil"/>
                <w:between w:val="nil"/>
              </w:pBdr>
              <w:tabs>
                <w:tab w:val="left" w:pos="-9"/>
                <w:tab w:val="left" w:pos="-179"/>
              </w:tabs>
              <w:spacing w:after="120"/>
              <w:ind w:left="170" w:hanging="170"/>
              <w:jc w:val="both"/>
              <w:rPr>
                <w:color w:val="000000"/>
                <w:sz w:val="24"/>
                <w:szCs w:val="24"/>
              </w:rPr>
            </w:pPr>
            <w:r>
              <w:rPr>
                <w:rFonts w:ascii="Arial" w:eastAsia="Arial" w:hAnsi="Arial" w:cs="Arial"/>
                <w:color w:val="000000"/>
                <w:sz w:val="24"/>
                <w:szCs w:val="24"/>
              </w:rPr>
              <w:t>has the meaning given to it in the Order Form;</w:t>
            </w:r>
          </w:p>
        </w:tc>
      </w:tr>
      <w:tr w:rsidR="008567FD" w14:paraId="5CA6A466" w14:textId="77777777">
        <w:tc>
          <w:tcPr>
            <w:tcW w:w="2410" w:type="dxa"/>
            <w:shd w:val="clear" w:color="auto" w:fill="auto"/>
          </w:tcPr>
          <w:p w14:paraId="357ABB6B" w14:textId="77777777" w:rsidR="008567FD" w:rsidRDefault="0013396B">
            <w:pPr>
              <w:pBdr>
                <w:top w:val="nil"/>
                <w:left w:val="nil"/>
                <w:bottom w:val="nil"/>
                <w:right w:val="nil"/>
                <w:between w:val="nil"/>
              </w:pBdr>
              <w:spacing w:after="120"/>
              <w:rPr>
                <w:color w:val="000000"/>
                <w:sz w:val="24"/>
                <w:szCs w:val="24"/>
              </w:rPr>
            </w:pPr>
            <w:r>
              <w:rPr>
                <w:rFonts w:ascii="Arial" w:eastAsia="Arial" w:hAnsi="Arial" w:cs="Arial"/>
                <w:b/>
                <w:color w:val="000000"/>
                <w:sz w:val="24"/>
                <w:szCs w:val="24"/>
              </w:rPr>
              <w:t>"Service Credits"</w:t>
            </w:r>
          </w:p>
        </w:tc>
        <w:tc>
          <w:tcPr>
            <w:tcW w:w="5953" w:type="dxa"/>
            <w:shd w:val="clear" w:color="auto" w:fill="auto"/>
          </w:tcPr>
          <w:p w14:paraId="4074D1EF" w14:textId="77777777" w:rsidR="008567FD" w:rsidRDefault="0013396B">
            <w:pPr>
              <w:pBdr>
                <w:top w:val="nil"/>
                <w:left w:val="nil"/>
                <w:bottom w:val="nil"/>
                <w:right w:val="nil"/>
                <w:between w:val="nil"/>
              </w:pBdr>
              <w:tabs>
                <w:tab w:val="left" w:pos="-9"/>
                <w:tab w:val="left" w:pos="-179"/>
              </w:tabs>
              <w:spacing w:after="120"/>
              <w:ind w:left="170"/>
              <w:jc w:val="both"/>
              <w:rPr>
                <w:color w:val="000000"/>
                <w:sz w:val="24"/>
                <w:szCs w:val="24"/>
              </w:rPr>
            </w:pPr>
            <w:r>
              <w:rPr>
                <w:rFonts w:ascii="Arial" w:eastAsia="Arial" w:hAnsi="Arial" w:cs="Arial"/>
                <w:color w:val="000000"/>
                <w:sz w:val="24"/>
                <w:szCs w:val="24"/>
              </w:rPr>
              <w:t>any service credits specified in the Annex to Part A of this Schedule being payable by the Supplier to the Buyer in respect of any failure by the Supplier to meet one or more Service Levels;</w:t>
            </w:r>
          </w:p>
        </w:tc>
      </w:tr>
      <w:tr w:rsidR="008567FD" w14:paraId="75B64476" w14:textId="77777777">
        <w:trPr>
          <w:trHeight w:val="359"/>
        </w:trPr>
        <w:tc>
          <w:tcPr>
            <w:tcW w:w="2410" w:type="dxa"/>
            <w:shd w:val="clear" w:color="auto" w:fill="auto"/>
          </w:tcPr>
          <w:p w14:paraId="7FFDD071" w14:textId="77777777" w:rsidR="008567FD" w:rsidRDefault="0013396B">
            <w:pPr>
              <w:pBdr>
                <w:top w:val="nil"/>
                <w:left w:val="nil"/>
                <w:bottom w:val="nil"/>
                <w:right w:val="nil"/>
                <w:between w:val="nil"/>
              </w:pBdr>
              <w:spacing w:after="120"/>
              <w:rPr>
                <w:color w:val="000000"/>
                <w:sz w:val="24"/>
                <w:szCs w:val="24"/>
              </w:rPr>
            </w:pPr>
            <w:r>
              <w:rPr>
                <w:rFonts w:ascii="Arial" w:eastAsia="Arial" w:hAnsi="Arial" w:cs="Arial"/>
                <w:b/>
                <w:color w:val="000000"/>
                <w:sz w:val="24"/>
                <w:szCs w:val="24"/>
              </w:rPr>
              <w:t>"Service Credit Cap"</w:t>
            </w:r>
          </w:p>
        </w:tc>
        <w:tc>
          <w:tcPr>
            <w:tcW w:w="5953" w:type="dxa"/>
            <w:shd w:val="clear" w:color="auto" w:fill="auto"/>
          </w:tcPr>
          <w:p w14:paraId="473274C3" w14:textId="77777777" w:rsidR="008567FD" w:rsidRDefault="0013396B">
            <w:pPr>
              <w:pBdr>
                <w:top w:val="nil"/>
                <w:left w:val="nil"/>
                <w:bottom w:val="nil"/>
                <w:right w:val="nil"/>
                <w:between w:val="nil"/>
              </w:pBdr>
              <w:tabs>
                <w:tab w:val="left" w:pos="-9"/>
                <w:tab w:val="left" w:pos="-179"/>
              </w:tabs>
              <w:spacing w:after="120"/>
              <w:ind w:left="170"/>
              <w:jc w:val="both"/>
              <w:rPr>
                <w:color w:val="000000"/>
                <w:sz w:val="24"/>
                <w:szCs w:val="24"/>
              </w:rPr>
            </w:pPr>
            <w:r>
              <w:rPr>
                <w:rFonts w:ascii="Arial" w:eastAsia="Arial" w:hAnsi="Arial" w:cs="Arial"/>
                <w:color w:val="000000"/>
                <w:sz w:val="24"/>
                <w:szCs w:val="24"/>
              </w:rPr>
              <w:t>has the meaning given to it in the Order Fo</w:t>
            </w:r>
            <w:r>
              <w:rPr>
                <w:rFonts w:ascii="Arial" w:eastAsia="Arial" w:hAnsi="Arial" w:cs="Arial"/>
                <w:color w:val="000000"/>
                <w:sz w:val="24"/>
                <w:szCs w:val="24"/>
              </w:rPr>
              <w:t>rm;</w:t>
            </w:r>
          </w:p>
        </w:tc>
      </w:tr>
      <w:tr w:rsidR="008567FD" w14:paraId="15BDA220" w14:textId="77777777">
        <w:tc>
          <w:tcPr>
            <w:tcW w:w="2410" w:type="dxa"/>
            <w:shd w:val="clear" w:color="auto" w:fill="auto"/>
          </w:tcPr>
          <w:p w14:paraId="6C6D6B16" w14:textId="77777777" w:rsidR="008567FD" w:rsidRDefault="0013396B">
            <w:pPr>
              <w:pBdr>
                <w:top w:val="nil"/>
                <w:left w:val="nil"/>
                <w:bottom w:val="nil"/>
                <w:right w:val="nil"/>
                <w:between w:val="nil"/>
              </w:pBdr>
              <w:spacing w:after="120"/>
              <w:rPr>
                <w:color w:val="000000"/>
                <w:sz w:val="24"/>
                <w:szCs w:val="24"/>
              </w:rPr>
            </w:pPr>
            <w:r>
              <w:rPr>
                <w:rFonts w:ascii="Arial" w:eastAsia="Arial" w:hAnsi="Arial" w:cs="Arial"/>
                <w:b/>
                <w:color w:val="000000"/>
                <w:sz w:val="24"/>
                <w:szCs w:val="24"/>
              </w:rPr>
              <w:t>"Service Level Failure"</w:t>
            </w:r>
          </w:p>
        </w:tc>
        <w:tc>
          <w:tcPr>
            <w:tcW w:w="5953" w:type="dxa"/>
            <w:shd w:val="clear" w:color="auto" w:fill="auto"/>
          </w:tcPr>
          <w:p w14:paraId="3CB20D86" w14:textId="77777777" w:rsidR="008567FD" w:rsidRDefault="0013396B">
            <w:pPr>
              <w:pBdr>
                <w:top w:val="nil"/>
                <w:left w:val="nil"/>
                <w:bottom w:val="nil"/>
                <w:right w:val="nil"/>
                <w:between w:val="nil"/>
              </w:pBdr>
              <w:tabs>
                <w:tab w:val="left" w:pos="-9"/>
                <w:tab w:val="left" w:pos="-179"/>
              </w:tabs>
              <w:spacing w:after="120"/>
              <w:ind w:left="170"/>
              <w:jc w:val="both"/>
              <w:rPr>
                <w:color w:val="000000"/>
                <w:sz w:val="24"/>
                <w:szCs w:val="24"/>
              </w:rPr>
            </w:pPr>
            <w:r>
              <w:rPr>
                <w:rFonts w:ascii="Arial" w:eastAsia="Arial" w:hAnsi="Arial" w:cs="Arial"/>
                <w:color w:val="000000"/>
                <w:sz w:val="24"/>
                <w:szCs w:val="24"/>
              </w:rPr>
              <w:t>means a failure to meet the Service Level Performance Measure in respect of a Service Level;</w:t>
            </w:r>
          </w:p>
        </w:tc>
      </w:tr>
      <w:tr w:rsidR="008567FD" w14:paraId="4EE9DA99" w14:textId="77777777">
        <w:tc>
          <w:tcPr>
            <w:tcW w:w="2410" w:type="dxa"/>
            <w:shd w:val="clear" w:color="auto" w:fill="auto"/>
          </w:tcPr>
          <w:p w14:paraId="2701744D" w14:textId="77777777" w:rsidR="008567FD" w:rsidRDefault="0013396B">
            <w:pPr>
              <w:pBdr>
                <w:top w:val="nil"/>
                <w:left w:val="nil"/>
                <w:bottom w:val="nil"/>
                <w:right w:val="nil"/>
                <w:between w:val="nil"/>
              </w:pBdr>
              <w:spacing w:after="120"/>
              <w:rPr>
                <w:color w:val="000000"/>
                <w:sz w:val="24"/>
                <w:szCs w:val="24"/>
              </w:rPr>
            </w:pPr>
            <w:r>
              <w:rPr>
                <w:rFonts w:ascii="Arial" w:eastAsia="Arial" w:hAnsi="Arial" w:cs="Arial"/>
                <w:b/>
                <w:color w:val="000000"/>
                <w:sz w:val="24"/>
                <w:szCs w:val="24"/>
              </w:rPr>
              <w:t>"Service Level Performance Measure"</w:t>
            </w:r>
          </w:p>
        </w:tc>
        <w:tc>
          <w:tcPr>
            <w:tcW w:w="5953" w:type="dxa"/>
            <w:shd w:val="clear" w:color="auto" w:fill="auto"/>
          </w:tcPr>
          <w:p w14:paraId="7DD77D2B" w14:textId="77777777" w:rsidR="008567FD" w:rsidRDefault="0013396B">
            <w:pPr>
              <w:pBdr>
                <w:top w:val="nil"/>
                <w:left w:val="nil"/>
                <w:bottom w:val="nil"/>
                <w:right w:val="nil"/>
                <w:between w:val="nil"/>
              </w:pBdr>
              <w:tabs>
                <w:tab w:val="left" w:pos="-9"/>
                <w:tab w:val="left" w:pos="-179"/>
              </w:tabs>
              <w:spacing w:after="120"/>
              <w:ind w:left="170"/>
              <w:jc w:val="both"/>
              <w:rPr>
                <w:color w:val="000000"/>
                <w:sz w:val="24"/>
                <w:szCs w:val="24"/>
              </w:rPr>
            </w:pPr>
            <w:r>
              <w:rPr>
                <w:rFonts w:ascii="Arial" w:eastAsia="Arial" w:hAnsi="Arial" w:cs="Arial"/>
                <w:color w:val="000000"/>
                <w:sz w:val="24"/>
                <w:szCs w:val="24"/>
              </w:rPr>
              <w:t>shall be as set out against the relevant Service Level in the Annex to Part A of this Schedule; and</w:t>
            </w:r>
          </w:p>
        </w:tc>
      </w:tr>
      <w:tr w:rsidR="008567FD" w14:paraId="49B76943" w14:textId="77777777">
        <w:tc>
          <w:tcPr>
            <w:tcW w:w="2410" w:type="dxa"/>
            <w:shd w:val="clear" w:color="auto" w:fill="auto"/>
          </w:tcPr>
          <w:p w14:paraId="7C7402B5" w14:textId="77777777" w:rsidR="008567FD" w:rsidRDefault="0013396B">
            <w:pPr>
              <w:pBdr>
                <w:top w:val="nil"/>
                <w:left w:val="nil"/>
                <w:bottom w:val="nil"/>
                <w:right w:val="nil"/>
                <w:between w:val="nil"/>
              </w:pBdr>
              <w:spacing w:after="120"/>
              <w:rPr>
                <w:color w:val="000000"/>
                <w:sz w:val="24"/>
                <w:szCs w:val="24"/>
              </w:rPr>
            </w:pPr>
            <w:r>
              <w:rPr>
                <w:rFonts w:ascii="Arial" w:eastAsia="Arial" w:hAnsi="Arial" w:cs="Arial"/>
                <w:b/>
                <w:color w:val="000000"/>
                <w:sz w:val="24"/>
                <w:szCs w:val="24"/>
              </w:rPr>
              <w:t>"Service Level Threshold"</w:t>
            </w:r>
          </w:p>
        </w:tc>
        <w:tc>
          <w:tcPr>
            <w:tcW w:w="5953" w:type="dxa"/>
            <w:shd w:val="clear" w:color="auto" w:fill="auto"/>
          </w:tcPr>
          <w:p w14:paraId="0998E5E0" w14:textId="77777777" w:rsidR="008567FD" w:rsidRDefault="0013396B">
            <w:pPr>
              <w:pBdr>
                <w:top w:val="nil"/>
                <w:left w:val="nil"/>
                <w:bottom w:val="nil"/>
                <w:right w:val="nil"/>
                <w:between w:val="nil"/>
              </w:pBdr>
              <w:tabs>
                <w:tab w:val="left" w:pos="-9"/>
                <w:tab w:val="left" w:pos="-179"/>
              </w:tabs>
              <w:spacing w:after="120"/>
              <w:ind w:left="170"/>
              <w:jc w:val="both"/>
              <w:rPr>
                <w:color w:val="000000"/>
                <w:sz w:val="24"/>
                <w:szCs w:val="24"/>
              </w:rPr>
            </w:pPr>
            <w:r>
              <w:rPr>
                <w:rFonts w:ascii="Arial" w:eastAsia="Arial" w:hAnsi="Arial" w:cs="Arial"/>
                <w:color w:val="000000"/>
                <w:sz w:val="24"/>
                <w:szCs w:val="24"/>
              </w:rPr>
              <w:t>shall be as set out against the relevant Service Level in the Annex to Part A of this Schedule.</w:t>
            </w:r>
          </w:p>
        </w:tc>
      </w:tr>
    </w:tbl>
    <w:p w14:paraId="1C4E1399" w14:textId="77777777" w:rsidR="008567FD" w:rsidRDefault="0013396B">
      <w:pPr>
        <w:numPr>
          <w:ilvl w:val="0"/>
          <w:numId w:val="2"/>
        </w:numPr>
        <w:pBdr>
          <w:top w:val="nil"/>
          <w:left w:val="nil"/>
          <w:bottom w:val="nil"/>
          <w:right w:val="nil"/>
          <w:between w:val="nil"/>
        </w:pBdr>
        <w:tabs>
          <w:tab w:val="left" w:pos="142"/>
        </w:tabs>
        <w:spacing w:before="240" w:after="120" w:line="240" w:lineRule="auto"/>
        <w:rPr>
          <w:rFonts w:ascii="Arial" w:eastAsia="Arial" w:hAnsi="Arial" w:cs="Arial"/>
          <w:smallCaps/>
          <w:color w:val="000000"/>
          <w:sz w:val="24"/>
          <w:szCs w:val="24"/>
        </w:rPr>
      </w:pPr>
      <w:r>
        <w:rPr>
          <w:rFonts w:ascii="Arial" w:eastAsia="Arial" w:hAnsi="Arial" w:cs="Arial"/>
          <w:b/>
          <w:color w:val="000000"/>
          <w:sz w:val="24"/>
          <w:szCs w:val="24"/>
        </w:rPr>
        <w:t xml:space="preserve">What happens if you don’t meet the Service </w:t>
      </w:r>
      <w:proofErr w:type="gramStart"/>
      <w:r>
        <w:rPr>
          <w:rFonts w:ascii="Arial" w:eastAsia="Arial" w:hAnsi="Arial" w:cs="Arial"/>
          <w:b/>
          <w:color w:val="000000"/>
          <w:sz w:val="24"/>
          <w:szCs w:val="24"/>
        </w:rPr>
        <w:t>Levels</w:t>
      </w:r>
      <w:proofErr w:type="gramEnd"/>
    </w:p>
    <w:p w14:paraId="7A528967" w14:textId="77777777" w:rsidR="008567FD" w:rsidRDefault="0013396B">
      <w:pPr>
        <w:numPr>
          <w:ilvl w:val="1"/>
          <w:numId w:val="2"/>
        </w:numPr>
        <w:pBdr>
          <w:top w:val="nil"/>
          <w:left w:val="nil"/>
          <w:bottom w:val="nil"/>
          <w:right w:val="nil"/>
          <w:between w:val="nil"/>
        </w:pBdr>
        <w:spacing w:before="120" w:after="120" w:line="240" w:lineRule="auto"/>
        <w:jc w:val="both"/>
        <w:rPr>
          <w:color w:val="000000"/>
          <w:sz w:val="24"/>
          <w:szCs w:val="24"/>
        </w:rPr>
      </w:pPr>
      <w:r>
        <w:rPr>
          <w:rFonts w:ascii="Arial" w:eastAsia="Arial" w:hAnsi="Arial" w:cs="Arial"/>
          <w:color w:val="000000"/>
          <w:sz w:val="24"/>
          <w:szCs w:val="24"/>
        </w:rPr>
        <w:t>The Supplier shall at all times provide the Deliverables to meet or exceed the Service Level Performance Measure for each Service Level.</w:t>
      </w:r>
    </w:p>
    <w:p w14:paraId="4B6E36CB" w14:textId="77777777" w:rsidR="008567FD" w:rsidRDefault="0013396B">
      <w:pPr>
        <w:numPr>
          <w:ilvl w:val="1"/>
          <w:numId w:val="2"/>
        </w:numPr>
        <w:pBdr>
          <w:top w:val="nil"/>
          <w:left w:val="nil"/>
          <w:bottom w:val="nil"/>
          <w:right w:val="nil"/>
          <w:between w:val="nil"/>
        </w:pBdr>
        <w:spacing w:before="120" w:after="120" w:line="240" w:lineRule="auto"/>
        <w:jc w:val="both"/>
        <w:rPr>
          <w:color w:val="000000"/>
          <w:sz w:val="24"/>
          <w:szCs w:val="24"/>
        </w:rPr>
      </w:pPr>
      <w:r>
        <w:rPr>
          <w:rFonts w:ascii="Arial" w:eastAsia="Arial" w:hAnsi="Arial" w:cs="Arial"/>
          <w:color w:val="000000"/>
          <w:sz w:val="24"/>
          <w:szCs w:val="24"/>
        </w:rPr>
        <w:t>The Supplier acknowledges that any Service Level Failure shall entitl</w:t>
      </w:r>
      <w:r>
        <w:rPr>
          <w:rFonts w:ascii="Arial" w:eastAsia="Arial" w:hAnsi="Arial" w:cs="Arial"/>
          <w:color w:val="000000"/>
          <w:sz w:val="24"/>
          <w:szCs w:val="24"/>
        </w:rPr>
        <w:t xml:space="preserve">e the Buyer to the rights set out in Part A of this Schedule including the right to any Service Credits and that any Service Credit is a price adjustment and not an estimate of the Loss that may be suffered by the </w:t>
      </w:r>
      <w:r>
        <w:rPr>
          <w:rFonts w:ascii="Arial" w:eastAsia="Arial" w:hAnsi="Arial" w:cs="Arial"/>
          <w:color w:val="000000"/>
          <w:sz w:val="24"/>
          <w:szCs w:val="24"/>
        </w:rPr>
        <w:lastRenderedPageBreak/>
        <w:t>Buyer as a result of the Supplier’s failur</w:t>
      </w:r>
      <w:r>
        <w:rPr>
          <w:rFonts w:ascii="Arial" w:eastAsia="Arial" w:hAnsi="Arial" w:cs="Arial"/>
          <w:color w:val="000000"/>
          <w:sz w:val="24"/>
          <w:szCs w:val="24"/>
        </w:rPr>
        <w:t>e to meet any Service Level Performance Measure.</w:t>
      </w:r>
    </w:p>
    <w:p w14:paraId="5E38E5AE" w14:textId="77777777" w:rsidR="008567FD" w:rsidRDefault="0013396B">
      <w:pPr>
        <w:numPr>
          <w:ilvl w:val="1"/>
          <w:numId w:val="2"/>
        </w:numPr>
        <w:pBdr>
          <w:top w:val="nil"/>
          <w:left w:val="nil"/>
          <w:bottom w:val="nil"/>
          <w:right w:val="nil"/>
          <w:between w:val="nil"/>
        </w:pBdr>
        <w:spacing w:before="120" w:after="120" w:line="240" w:lineRule="auto"/>
        <w:jc w:val="both"/>
        <w:rPr>
          <w:color w:val="000000"/>
          <w:sz w:val="24"/>
          <w:szCs w:val="24"/>
        </w:rPr>
      </w:pPr>
      <w:r>
        <w:rPr>
          <w:rFonts w:ascii="Arial" w:eastAsia="Arial" w:hAnsi="Arial" w:cs="Arial"/>
          <w:color w:val="000000"/>
          <w:sz w:val="24"/>
          <w:szCs w:val="24"/>
        </w:rPr>
        <w:t>The Supplier shall send Performance Monitoring Reports to the Buyer detailing the level of service which was achieved in accordance with the provisions of Part B (Performance Monitoring) of this Schedule.</w:t>
      </w:r>
    </w:p>
    <w:p w14:paraId="47D03F8B" w14:textId="77777777" w:rsidR="008567FD" w:rsidRDefault="0013396B">
      <w:pPr>
        <w:numPr>
          <w:ilvl w:val="1"/>
          <w:numId w:val="2"/>
        </w:numPr>
        <w:pBdr>
          <w:top w:val="nil"/>
          <w:left w:val="nil"/>
          <w:bottom w:val="nil"/>
          <w:right w:val="nil"/>
          <w:between w:val="nil"/>
        </w:pBdr>
        <w:spacing w:before="120" w:after="120" w:line="240" w:lineRule="auto"/>
        <w:jc w:val="both"/>
        <w:rPr>
          <w:color w:val="000000"/>
          <w:sz w:val="24"/>
          <w:szCs w:val="24"/>
        </w:rPr>
      </w:pPr>
      <w:r>
        <w:rPr>
          <w:rFonts w:ascii="Arial" w:eastAsia="Arial" w:hAnsi="Arial" w:cs="Arial"/>
          <w:color w:val="000000"/>
          <w:sz w:val="24"/>
          <w:szCs w:val="24"/>
        </w:rPr>
        <w:t xml:space="preserve">A </w:t>
      </w:r>
      <w:r>
        <w:rPr>
          <w:rFonts w:ascii="Arial" w:eastAsia="Arial" w:hAnsi="Arial" w:cs="Arial"/>
          <w:color w:val="000000"/>
          <w:sz w:val="24"/>
          <w:szCs w:val="24"/>
        </w:rPr>
        <w:t>Service Credit shall be the Buyer’s exclusive financial remedy for a Service Level Failure except where:</w:t>
      </w:r>
    </w:p>
    <w:p w14:paraId="1B229097" w14:textId="77777777" w:rsidR="008567FD" w:rsidRDefault="0013396B">
      <w:pPr>
        <w:numPr>
          <w:ilvl w:val="2"/>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has over the previous (twelve) 12 Month period exceeded the Service Credit Cap; and/or</w:t>
      </w:r>
    </w:p>
    <w:p w14:paraId="1811A336" w14:textId="77777777" w:rsidR="008567FD" w:rsidRDefault="0013396B">
      <w:pPr>
        <w:numPr>
          <w:ilvl w:val="2"/>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Service Level Failure:</w:t>
      </w:r>
    </w:p>
    <w:p w14:paraId="77AF047D" w14:textId="77777777" w:rsidR="008567FD" w:rsidRDefault="0013396B">
      <w:pPr>
        <w:numPr>
          <w:ilvl w:val="3"/>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exceeds the relevant Service Level Threshold;</w:t>
      </w:r>
    </w:p>
    <w:p w14:paraId="104C2041" w14:textId="77777777" w:rsidR="008567FD" w:rsidRDefault="0013396B">
      <w:pPr>
        <w:numPr>
          <w:ilvl w:val="3"/>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has arisen due to a Prohibited Act or wilful Default by the Supplier; </w:t>
      </w:r>
    </w:p>
    <w:p w14:paraId="537E265E" w14:textId="77777777" w:rsidR="008567FD" w:rsidRDefault="0013396B">
      <w:pPr>
        <w:numPr>
          <w:ilvl w:val="3"/>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results in t</w:t>
      </w:r>
      <w:r>
        <w:rPr>
          <w:rFonts w:ascii="Arial" w:eastAsia="Arial" w:hAnsi="Arial" w:cs="Arial"/>
          <w:color w:val="000000"/>
          <w:sz w:val="24"/>
          <w:szCs w:val="24"/>
        </w:rPr>
        <w:t>he corruption or loss of any Government Data; and/or</w:t>
      </w:r>
    </w:p>
    <w:p w14:paraId="2992CC4D" w14:textId="77777777" w:rsidR="008567FD" w:rsidRDefault="0013396B">
      <w:pPr>
        <w:numPr>
          <w:ilvl w:val="3"/>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results in the Buyer being required to make a compensation payment to one or more third parties; and/or</w:t>
      </w:r>
    </w:p>
    <w:p w14:paraId="7FB46BE1" w14:textId="77777777" w:rsidR="008567FD" w:rsidRDefault="0013396B">
      <w:pPr>
        <w:numPr>
          <w:ilvl w:val="2"/>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is entitled to or does terminate this Contract pursuant to Clause 10.4 (CCS and Buyer Ter</w:t>
      </w:r>
      <w:r>
        <w:rPr>
          <w:rFonts w:ascii="Arial" w:eastAsia="Arial" w:hAnsi="Arial" w:cs="Arial"/>
          <w:color w:val="000000"/>
          <w:sz w:val="24"/>
          <w:szCs w:val="24"/>
        </w:rPr>
        <w:t>mination Rights).</w:t>
      </w:r>
    </w:p>
    <w:p w14:paraId="479B82A3" w14:textId="77777777" w:rsidR="008567FD" w:rsidRDefault="0013396B">
      <w:pPr>
        <w:numPr>
          <w:ilvl w:val="1"/>
          <w:numId w:val="2"/>
        </w:numPr>
        <w:pBdr>
          <w:top w:val="nil"/>
          <w:left w:val="nil"/>
          <w:bottom w:val="nil"/>
          <w:right w:val="nil"/>
          <w:between w:val="nil"/>
        </w:pBdr>
        <w:spacing w:before="120" w:after="120" w:line="240" w:lineRule="auto"/>
        <w:jc w:val="both"/>
        <w:rPr>
          <w:color w:val="000000"/>
          <w:sz w:val="24"/>
          <w:szCs w:val="24"/>
        </w:rPr>
      </w:pPr>
      <w:r>
        <w:rPr>
          <w:rFonts w:ascii="Arial" w:eastAsia="Arial" w:hAnsi="Arial" w:cs="Arial"/>
          <w:color w:val="000000"/>
          <w:sz w:val="24"/>
          <w:szCs w:val="24"/>
        </w:rPr>
        <w:t>Not more than once in each Contract Year, the Buyer may, on giving the Supplier at least three (3) Months’ notice, change the weighting of Service Level Performance Measure in respect of one or more Service Levels and the Supplier shall n</w:t>
      </w:r>
      <w:r>
        <w:rPr>
          <w:rFonts w:ascii="Arial" w:eastAsia="Arial" w:hAnsi="Arial" w:cs="Arial"/>
          <w:color w:val="000000"/>
          <w:sz w:val="24"/>
          <w:szCs w:val="24"/>
        </w:rPr>
        <w:t>ot be entitled to object to, or increase the Charges as a result of such changes, provided that:</w:t>
      </w:r>
    </w:p>
    <w:p w14:paraId="33EF7045" w14:textId="77777777" w:rsidR="008567FD" w:rsidRDefault="0013396B">
      <w:pPr>
        <w:numPr>
          <w:ilvl w:val="2"/>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total number of Service Levels for which the weighting is to be changed does not exceed the number applicable as at the Start Date; </w:t>
      </w:r>
    </w:p>
    <w:p w14:paraId="03B2E4BB" w14:textId="77777777" w:rsidR="008567FD" w:rsidRDefault="0013396B">
      <w:pPr>
        <w:numPr>
          <w:ilvl w:val="2"/>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principal purpose of the change is to reflect changes in the Buyer's business requirements and/or priorities or to reflect changing industry standards; and</w:t>
      </w:r>
    </w:p>
    <w:p w14:paraId="00FD8F5D" w14:textId="77777777" w:rsidR="008567FD" w:rsidRDefault="0013396B">
      <w:pPr>
        <w:numPr>
          <w:ilvl w:val="2"/>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there is no change to the Service Credit Cap.</w:t>
      </w:r>
    </w:p>
    <w:p w14:paraId="1A718375" w14:textId="77777777" w:rsidR="008567FD" w:rsidRDefault="0013396B">
      <w:pPr>
        <w:numPr>
          <w:ilvl w:val="0"/>
          <w:numId w:val="2"/>
        </w:numPr>
        <w:pBdr>
          <w:top w:val="nil"/>
          <w:left w:val="nil"/>
          <w:bottom w:val="nil"/>
          <w:right w:val="nil"/>
          <w:between w:val="nil"/>
        </w:pBdr>
        <w:tabs>
          <w:tab w:val="left" w:pos="142"/>
        </w:tabs>
        <w:spacing w:before="240" w:after="12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Critical Service Level Failure</w:t>
      </w:r>
    </w:p>
    <w:p w14:paraId="0FCCDA7A" w14:textId="77777777" w:rsidR="008567FD" w:rsidRDefault="0013396B">
      <w:pPr>
        <w:pBdr>
          <w:top w:val="nil"/>
          <w:left w:val="nil"/>
          <w:bottom w:val="nil"/>
          <w:right w:val="nil"/>
          <w:between w:val="nil"/>
        </w:pBdr>
        <w:spacing w:before="120" w:after="120" w:line="240" w:lineRule="auto"/>
        <w:ind w:left="936" w:hanging="576"/>
        <w:jc w:val="both"/>
        <w:rPr>
          <w:rFonts w:ascii="Arial" w:eastAsia="Arial" w:hAnsi="Arial" w:cs="Arial"/>
          <w:color w:val="000000"/>
          <w:sz w:val="24"/>
          <w:szCs w:val="24"/>
        </w:rPr>
      </w:pPr>
      <w:r>
        <w:rPr>
          <w:rFonts w:ascii="Arial" w:eastAsia="Arial" w:hAnsi="Arial" w:cs="Arial"/>
          <w:color w:val="000000"/>
          <w:sz w:val="24"/>
          <w:szCs w:val="24"/>
        </w:rPr>
        <w:t>On the occurrence o</w:t>
      </w:r>
      <w:r>
        <w:rPr>
          <w:rFonts w:ascii="Arial" w:eastAsia="Arial" w:hAnsi="Arial" w:cs="Arial"/>
          <w:color w:val="000000"/>
          <w:sz w:val="24"/>
          <w:szCs w:val="24"/>
        </w:rPr>
        <w:t>f a Critical Service Level Failure:</w:t>
      </w:r>
    </w:p>
    <w:p w14:paraId="40E6376D" w14:textId="77777777" w:rsidR="008567FD" w:rsidRDefault="0013396B">
      <w:pPr>
        <w:numPr>
          <w:ilvl w:val="1"/>
          <w:numId w:val="2"/>
        </w:numPr>
        <w:pBdr>
          <w:top w:val="nil"/>
          <w:left w:val="nil"/>
          <w:bottom w:val="nil"/>
          <w:right w:val="nil"/>
          <w:between w:val="nil"/>
        </w:pBdr>
        <w:spacing w:before="120" w:after="120" w:line="240" w:lineRule="auto"/>
        <w:jc w:val="both"/>
        <w:rPr>
          <w:color w:val="000000"/>
          <w:sz w:val="24"/>
          <w:szCs w:val="24"/>
        </w:rPr>
      </w:pPr>
      <w:r>
        <w:rPr>
          <w:rFonts w:ascii="Arial" w:eastAsia="Arial" w:hAnsi="Arial" w:cs="Arial"/>
          <w:color w:val="000000"/>
          <w:sz w:val="24"/>
          <w:szCs w:val="24"/>
        </w:rPr>
        <w:t>any Service Credits that would otherwise have accrued during the relevant Service Period shall not accrue; and</w:t>
      </w:r>
    </w:p>
    <w:p w14:paraId="5AE91C29" w14:textId="77777777" w:rsidR="008567FD" w:rsidRDefault="0013396B">
      <w:pPr>
        <w:numPr>
          <w:ilvl w:val="1"/>
          <w:numId w:val="2"/>
        </w:numPr>
        <w:pBdr>
          <w:top w:val="nil"/>
          <w:left w:val="nil"/>
          <w:bottom w:val="nil"/>
          <w:right w:val="nil"/>
          <w:between w:val="nil"/>
        </w:pBdr>
        <w:spacing w:before="120" w:after="120" w:line="240" w:lineRule="auto"/>
        <w:jc w:val="both"/>
        <w:rPr>
          <w:color w:val="000000"/>
          <w:sz w:val="24"/>
          <w:szCs w:val="24"/>
        </w:rPr>
      </w:pPr>
      <w:r>
        <w:rPr>
          <w:rFonts w:ascii="Arial" w:eastAsia="Arial" w:hAnsi="Arial" w:cs="Arial"/>
          <w:color w:val="000000"/>
          <w:sz w:val="24"/>
          <w:szCs w:val="24"/>
        </w:rPr>
        <w:t>the Buyer shall (subject to the Service Credit Cap) be entitled to withhold and retain as compensation a sum equal to any Charges which would otherwise have been due to the Supplier in respect of that Service Period ("</w:t>
      </w:r>
      <w:r>
        <w:rPr>
          <w:rFonts w:ascii="Arial" w:eastAsia="Arial" w:hAnsi="Arial" w:cs="Arial"/>
          <w:b/>
          <w:color w:val="000000"/>
          <w:sz w:val="24"/>
          <w:szCs w:val="24"/>
        </w:rPr>
        <w:t>Compensation for Critical Service Leve</w:t>
      </w:r>
      <w:r>
        <w:rPr>
          <w:rFonts w:ascii="Arial" w:eastAsia="Arial" w:hAnsi="Arial" w:cs="Arial"/>
          <w:b/>
          <w:color w:val="000000"/>
          <w:sz w:val="24"/>
          <w:szCs w:val="24"/>
        </w:rPr>
        <w:t>l Failure</w:t>
      </w:r>
      <w:r>
        <w:rPr>
          <w:rFonts w:ascii="Arial" w:eastAsia="Arial" w:hAnsi="Arial" w:cs="Arial"/>
          <w:color w:val="000000"/>
          <w:sz w:val="24"/>
          <w:szCs w:val="24"/>
        </w:rPr>
        <w:t>"),</w:t>
      </w:r>
    </w:p>
    <w:p w14:paraId="3BEA4509" w14:textId="77777777" w:rsidR="008567FD" w:rsidRDefault="0013396B">
      <w:pPr>
        <w:pBdr>
          <w:top w:val="nil"/>
          <w:left w:val="nil"/>
          <w:bottom w:val="nil"/>
          <w:right w:val="nil"/>
          <w:between w:val="nil"/>
        </w:pBdr>
        <w:tabs>
          <w:tab w:val="left" w:pos="3402"/>
        </w:tabs>
        <w:spacing w:after="220" w:line="240" w:lineRule="auto"/>
        <w:ind w:left="720"/>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provided that the operation of this paragraph </w:t>
      </w:r>
      <w:r>
        <w:rPr>
          <w:rFonts w:ascii="Arial" w:eastAsia="Arial" w:hAnsi="Arial" w:cs="Arial"/>
          <w:sz w:val="24"/>
          <w:szCs w:val="24"/>
        </w:rPr>
        <w:t>3</w:t>
      </w:r>
      <w:r>
        <w:rPr>
          <w:rFonts w:ascii="Arial" w:eastAsia="Arial" w:hAnsi="Arial" w:cs="Arial"/>
          <w:color w:val="000000"/>
          <w:sz w:val="24"/>
          <w:szCs w:val="24"/>
        </w:rPr>
        <w:t xml:space="preserve"> shall be without prejudice to the right of the Buyer to terminate this Contract and/or to claim damages from the Supplier for material Default.</w:t>
      </w:r>
    </w:p>
    <w:p w14:paraId="25673294" w14:textId="77777777" w:rsidR="008567FD" w:rsidRDefault="008567FD">
      <w:pPr>
        <w:pBdr>
          <w:top w:val="nil"/>
          <w:left w:val="nil"/>
          <w:bottom w:val="nil"/>
          <w:right w:val="nil"/>
          <w:between w:val="nil"/>
        </w:pBdr>
        <w:tabs>
          <w:tab w:val="left" w:pos="142"/>
        </w:tabs>
        <w:spacing w:before="240" w:after="120" w:line="240" w:lineRule="auto"/>
        <w:ind w:left="66"/>
        <w:rPr>
          <w:rFonts w:ascii="Arial" w:eastAsia="Arial" w:hAnsi="Arial" w:cs="Arial"/>
          <w:smallCaps/>
          <w:color w:val="000000"/>
          <w:sz w:val="24"/>
          <w:szCs w:val="24"/>
        </w:rPr>
      </w:pPr>
    </w:p>
    <w:p w14:paraId="030C161C" w14:textId="77777777" w:rsidR="008567FD" w:rsidRDefault="0013396B">
      <w:pPr>
        <w:keepNext/>
        <w:pBdr>
          <w:top w:val="nil"/>
          <w:left w:val="nil"/>
          <w:bottom w:val="nil"/>
          <w:right w:val="nil"/>
          <w:between w:val="nil"/>
        </w:pBdr>
        <w:spacing w:after="240" w:line="240" w:lineRule="auto"/>
        <w:rPr>
          <w:rFonts w:ascii="Arial" w:eastAsia="Arial" w:hAnsi="Arial" w:cs="Arial"/>
          <w:b/>
          <w:smallCaps/>
          <w:color w:val="000000"/>
          <w:sz w:val="36"/>
          <w:szCs w:val="36"/>
        </w:rPr>
      </w:pPr>
      <w:r>
        <w:rPr>
          <w:rFonts w:ascii="Arial" w:eastAsia="Arial" w:hAnsi="Arial" w:cs="Arial"/>
          <w:b/>
          <w:color w:val="000000"/>
          <w:sz w:val="36"/>
          <w:szCs w:val="36"/>
        </w:rPr>
        <w:t xml:space="preserve">Part A: Service Levels and Service Credits </w:t>
      </w:r>
    </w:p>
    <w:p w14:paraId="01B8E872" w14:textId="77777777" w:rsidR="008567FD" w:rsidRDefault="0013396B">
      <w:pPr>
        <w:numPr>
          <w:ilvl w:val="0"/>
          <w:numId w:val="3"/>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r>
        <w:rPr>
          <w:rFonts w:ascii="Arial" w:eastAsia="Arial" w:hAnsi="Arial" w:cs="Arial"/>
          <w:b/>
          <w:color w:val="000000"/>
          <w:sz w:val="24"/>
          <w:szCs w:val="24"/>
        </w:rPr>
        <w:t>Service Levels</w:t>
      </w:r>
    </w:p>
    <w:p w14:paraId="2DBA20B4" w14:textId="77777777" w:rsidR="008567FD" w:rsidRDefault="0013396B">
      <w:pPr>
        <w:pBdr>
          <w:top w:val="nil"/>
          <w:left w:val="nil"/>
          <w:bottom w:val="nil"/>
          <w:right w:val="nil"/>
          <w:between w:val="nil"/>
        </w:pBdr>
        <w:spacing w:before="120" w:after="120" w:line="240" w:lineRule="auto"/>
        <w:ind w:left="720" w:hanging="576"/>
        <w:jc w:val="both"/>
        <w:rPr>
          <w:rFonts w:ascii="Arial" w:eastAsia="Arial" w:hAnsi="Arial" w:cs="Arial"/>
          <w:color w:val="000000"/>
          <w:sz w:val="24"/>
          <w:szCs w:val="24"/>
        </w:rPr>
      </w:pPr>
      <w:r>
        <w:rPr>
          <w:rFonts w:ascii="Arial" w:eastAsia="Arial" w:hAnsi="Arial" w:cs="Arial"/>
          <w:color w:val="000000"/>
          <w:sz w:val="24"/>
          <w:szCs w:val="24"/>
        </w:rPr>
        <w:t>If the level of performance of the Supplier:</w:t>
      </w:r>
    </w:p>
    <w:p w14:paraId="58856836" w14:textId="77777777" w:rsidR="008567FD" w:rsidRDefault="0013396B">
      <w:pPr>
        <w:numPr>
          <w:ilvl w:val="1"/>
          <w:numId w:val="3"/>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is likely to or fails to meet any Service Level Performance Measure; or</w:t>
      </w:r>
    </w:p>
    <w:p w14:paraId="10FBB51D" w14:textId="77777777" w:rsidR="008567FD" w:rsidRDefault="0013396B">
      <w:pPr>
        <w:numPr>
          <w:ilvl w:val="1"/>
          <w:numId w:val="3"/>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is likely to cause or causes a Critical Service Failure to occur, </w:t>
      </w:r>
    </w:p>
    <w:p w14:paraId="235FD6AE" w14:textId="77777777" w:rsidR="008567FD" w:rsidRDefault="0013396B">
      <w:pPr>
        <w:pBdr>
          <w:top w:val="nil"/>
          <w:left w:val="nil"/>
          <w:bottom w:val="nil"/>
          <w:right w:val="nil"/>
          <w:between w:val="nil"/>
        </w:pBdr>
        <w:spacing w:before="120" w:after="120" w:line="240" w:lineRule="auto"/>
        <w:ind w:left="720" w:hanging="576"/>
        <w:jc w:val="both"/>
        <w:rPr>
          <w:rFonts w:ascii="Arial" w:eastAsia="Arial" w:hAnsi="Arial" w:cs="Arial"/>
          <w:color w:val="000000"/>
          <w:sz w:val="24"/>
          <w:szCs w:val="24"/>
        </w:rPr>
      </w:pPr>
      <w:r>
        <w:rPr>
          <w:rFonts w:ascii="Arial" w:eastAsia="Arial" w:hAnsi="Arial" w:cs="Arial"/>
          <w:color w:val="000000"/>
          <w:sz w:val="24"/>
          <w:szCs w:val="24"/>
        </w:rPr>
        <w:t>the Supplier shall immediately notify the Buyer in writing and the Buyer, in its absolute discretion and without limiting any other of its rights, may:</w:t>
      </w:r>
    </w:p>
    <w:p w14:paraId="2EBB8D14" w14:textId="77777777" w:rsidR="008567FD" w:rsidRDefault="0013396B">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require the Supplier to immediately take all remedial action that is reasonable to mitigate the impact o</w:t>
      </w:r>
      <w:r>
        <w:rPr>
          <w:rFonts w:ascii="Arial" w:eastAsia="Arial" w:hAnsi="Arial" w:cs="Arial"/>
          <w:color w:val="000000"/>
          <w:sz w:val="24"/>
          <w:szCs w:val="24"/>
        </w:rPr>
        <w:t xml:space="preserve">n the Buyer and to rectify or prevent a Service Level Failure or Critical Service Level Failure from taking place or recurring; </w:t>
      </w:r>
    </w:p>
    <w:p w14:paraId="6C20171F" w14:textId="77777777" w:rsidR="008567FD" w:rsidRDefault="0013396B">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instruct the Supplier to comply with the Rectification Plan Process; </w:t>
      </w:r>
    </w:p>
    <w:p w14:paraId="2623FED1" w14:textId="77777777" w:rsidR="008567FD" w:rsidRDefault="0013396B">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if a Service Level Failure has occurred, deduct the appli</w:t>
      </w:r>
      <w:r>
        <w:rPr>
          <w:rFonts w:ascii="Arial" w:eastAsia="Arial" w:hAnsi="Arial" w:cs="Arial"/>
          <w:color w:val="000000"/>
          <w:sz w:val="24"/>
          <w:szCs w:val="24"/>
        </w:rPr>
        <w:t>cable Service Level Credits payable by the Supplier to the Buyer; and/or</w:t>
      </w:r>
    </w:p>
    <w:p w14:paraId="4DF369D2" w14:textId="77777777" w:rsidR="008567FD" w:rsidRDefault="0013396B">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if a Critical Service Level Failure has occurred, exercise its right to Compensation for Critical Service Level Failure (including the right to terminate for material Default).</w:t>
      </w:r>
    </w:p>
    <w:p w14:paraId="0E2F8B96" w14:textId="77777777" w:rsidR="008567FD" w:rsidRDefault="0013396B">
      <w:pPr>
        <w:numPr>
          <w:ilvl w:val="0"/>
          <w:numId w:val="3"/>
        </w:numPr>
        <w:pBdr>
          <w:top w:val="nil"/>
          <w:left w:val="nil"/>
          <w:bottom w:val="nil"/>
          <w:right w:val="nil"/>
          <w:between w:val="nil"/>
        </w:pBdr>
        <w:tabs>
          <w:tab w:val="left" w:pos="142"/>
        </w:tabs>
        <w:spacing w:before="240" w:after="12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Service Credits</w:t>
      </w:r>
    </w:p>
    <w:p w14:paraId="510ABB5A" w14:textId="77777777" w:rsidR="008567FD" w:rsidRDefault="0013396B">
      <w:pPr>
        <w:numPr>
          <w:ilvl w:val="1"/>
          <w:numId w:val="3"/>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use the Performance Monitoring Reports supplied by the Supplier to verify the calculation and accuracy of the Service Credits, if any, applicable to each Service Period.</w:t>
      </w:r>
    </w:p>
    <w:p w14:paraId="23C25EF0" w14:textId="77777777" w:rsidR="008567FD" w:rsidRDefault="0013396B">
      <w:pPr>
        <w:numPr>
          <w:ilvl w:val="1"/>
          <w:numId w:val="3"/>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Service Credits are a reduction of the amounts payable</w:t>
      </w:r>
      <w:r>
        <w:rPr>
          <w:rFonts w:ascii="Arial" w:eastAsia="Arial" w:hAnsi="Arial" w:cs="Arial"/>
          <w:color w:val="000000"/>
          <w:sz w:val="24"/>
          <w:szCs w:val="24"/>
        </w:rPr>
        <w:t xml:space="preserve"> in respect of the Deliverables and do not include VAT. The Supplier shall set-off the value of any Service Credits against the appropriate invoice in accordance </w:t>
      </w:r>
      <w:r>
        <w:rPr>
          <w:rFonts w:ascii="Arial" w:eastAsia="Arial" w:hAnsi="Arial" w:cs="Arial"/>
          <w:sz w:val="24"/>
          <w:szCs w:val="24"/>
        </w:rPr>
        <w:t>with the calculation</w:t>
      </w:r>
      <w:r>
        <w:rPr>
          <w:rFonts w:ascii="Arial" w:eastAsia="Arial" w:hAnsi="Arial" w:cs="Arial"/>
          <w:color w:val="000000"/>
          <w:sz w:val="24"/>
          <w:szCs w:val="24"/>
        </w:rPr>
        <w:t xml:space="preserve"> formula in the Annex </w:t>
      </w:r>
      <w:r>
        <w:rPr>
          <w:rFonts w:ascii="Arial" w:eastAsia="Arial" w:hAnsi="Arial" w:cs="Arial"/>
          <w:sz w:val="24"/>
          <w:szCs w:val="24"/>
        </w:rPr>
        <w:t xml:space="preserve">A </w:t>
      </w:r>
      <w:r>
        <w:rPr>
          <w:rFonts w:ascii="Arial" w:eastAsia="Arial" w:hAnsi="Arial" w:cs="Arial"/>
          <w:color w:val="000000"/>
          <w:sz w:val="24"/>
          <w:szCs w:val="24"/>
        </w:rPr>
        <w:t xml:space="preserve">to Part A of this Schedule. </w:t>
      </w:r>
    </w:p>
    <w:p w14:paraId="72C0DE99" w14:textId="77777777" w:rsidR="008567FD" w:rsidRDefault="0013396B">
      <w:pPr>
        <w:keepNext/>
        <w:pBdr>
          <w:top w:val="nil"/>
          <w:left w:val="nil"/>
          <w:bottom w:val="nil"/>
          <w:right w:val="nil"/>
          <w:between w:val="nil"/>
        </w:pBdr>
        <w:spacing w:after="240" w:line="240" w:lineRule="auto"/>
        <w:rPr>
          <w:rFonts w:ascii="Arial" w:eastAsia="Arial" w:hAnsi="Arial" w:cs="Arial"/>
          <w:b/>
          <w:smallCaps/>
          <w:color w:val="000000"/>
          <w:sz w:val="24"/>
          <w:szCs w:val="24"/>
        </w:rPr>
      </w:pPr>
      <w:r>
        <w:br w:type="page"/>
      </w:r>
      <w:r>
        <w:rPr>
          <w:rFonts w:ascii="Arial" w:eastAsia="Arial" w:hAnsi="Arial" w:cs="Arial"/>
          <w:b/>
          <w:color w:val="000000"/>
          <w:sz w:val="36"/>
          <w:szCs w:val="36"/>
        </w:rPr>
        <w:lastRenderedPageBreak/>
        <w:t xml:space="preserve">Annex A to Part A: </w:t>
      </w:r>
      <w:r>
        <w:rPr>
          <w:rFonts w:ascii="Arial" w:eastAsia="Arial" w:hAnsi="Arial" w:cs="Arial"/>
          <w:b/>
          <w:sz w:val="36"/>
          <w:szCs w:val="36"/>
        </w:rPr>
        <w:t>Service</w:t>
      </w:r>
      <w:r>
        <w:rPr>
          <w:rFonts w:ascii="Arial" w:eastAsia="Arial" w:hAnsi="Arial" w:cs="Arial"/>
          <w:b/>
          <w:color w:val="000000"/>
          <w:sz w:val="36"/>
          <w:szCs w:val="36"/>
        </w:rPr>
        <w:t xml:space="preserve"> Levels and Service Credits Table</w:t>
      </w:r>
    </w:p>
    <w:p w14:paraId="6C28835F" w14:textId="77777777" w:rsidR="008567FD" w:rsidRDefault="0013396B">
      <w:pPr>
        <w:spacing w:before="100"/>
        <w:rPr>
          <w:b/>
          <w:i/>
          <w:highlight w:val="yellow"/>
        </w:rPr>
      </w:pPr>
      <w:r>
        <w:rPr>
          <w:b/>
          <w:i/>
          <w:highlight w:val="yellow"/>
        </w:rPr>
        <w:t xml:space="preserve">[Buyer Guidance Note: </w:t>
      </w:r>
    </w:p>
    <w:p w14:paraId="6944D403" w14:textId="77777777" w:rsidR="008567FD" w:rsidRDefault="0013396B">
      <w:pPr>
        <w:numPr>
          <w:ilvl w:val="0"/>
          <w:numId w:val="4"/>
        </w:numPr>
        <w:spacing w:before="100" w:after="0"/>
        <w:rPr>
          <w:b/>
          <w:i/>
          <w:highlight w:val="yellow"/>
        </w:rPr>
      </w:pPr>
      <w:r>
        <w:rPr>
          <w:b/>
          <w:i/>
          <w:highlight w:val="yellow"/>
        </w:rPr>
        <w:t xml:space="preserve">The following table and calculation are included by way of example only. </w:t>
      </w:r>
    </w:p>
    <w:p w14:paraId="108664B7" w14:textId="77777777" w:rsidR="008567FD" w:rsidRDefault="0013396B">
      <w:pPr>
        <w:numPr>
          <w:ilvl w:val="0"/>
          <w:numId w:val="4"/>
        </w:numPr>
        <w:spacing w:after="0"/>
        <w:rPr>
          <w:b/>
          <w:i/>
          <w:highlight w:val="yellow"/>
        </w:rPr>
      </w:pPr>
      <w:r>
        <w:rPr>
          <w:b/>
          <w:i/>
          <w:highlight w:val="yellow"/>
        </w:rPr>
        <w:t>Procurement-specific Service Levels (or KPIs) and formulae, including Service Levels relating to So</w:t>
      </w:r>
      <w:r>
        <w:rPr>
          <w:b/>
          <w:i/>
          <w:highlight w:val="yellow"/>
        </w:rPr>
        <w:t xml:space="preserve">cial Value, should be incorporated. </w:t>
      </w:r>
    </w:p>
    <w:p w14:paraId="0ED269FE" w14:textId="77777777" w:rsidR="008567FD" w:rsidRDefault="0013396B">
      <w:pPr>
        <w:numPr>
          <w:ilvl w:val="0"/>
          <w:numId w:val="4"/>
        </w:numPr>
        <w:spacing w:after="0"/>
        <w:rPr>
          <w:b/>
          <w:i/>
          <w:highlight w:val="yellow"/>
        </w:rPr>
      </w:pPr>
      <w:r>
        <w:rPr>
          <w:b/>
          <w:i/>
          <w:highlight w:val="yellow"/>
        </w:rPr>
        <w:t xml:space="preserve">In line with the </w:t>
      </w:r>
      <w:hyperlink r:id="rId8">
        <w:r>
          <w:rPr>
            <w:b/>
            <w:i/>
            <w:color w:val="0000FF"/>
            <w:highlight w:val="yellow"/>
            <w:u w:val="single"/>
          </w:rPr>
          <w:t>Sourcing Playbook</w:t>
        </w:r>
      </w:hyperlink>
      <w:r>
        <w:rPr>
          <w:b/>
          <w:i/>
          <w:highlight w:val="yellow"/>
        </w:rPr>
        <w:t xml:space="preserve">, it is HMG’s intention to publish the top Service Levels for the Government’s most important contracts. </w:t>
      </w:r>
    </w:p>
    <w:p w14:paraId="393900E0" w14:textId="77777777" w:rsidR="008567FD" w:rsidRDefault="0013396B">
      <w:pPr>
        <w:numPr>
          <w:ilvl w:val="0"/>
          <w:numId w:val="4"/>
        </w:numPr>
        <w:rPr>
          <w:b/>
          <w:i/>
          <w:highlight w:val="yellow"/>
        </w:rPr>
      </w:pPr>
      <w:r>
        <w:rPr>
          <w:b/>
          <w:i/>
          <w:highlight w:val="yellow"/>
        </w:rPr>
        <w:t>Where this publication requirement applies to this Contract, the Buyer must select at least three Service Levels which shall be publishable and must a</w:t>
      </w:r>
      <w:r>
        <w:rPr>
          <w:b/>
          <w:i/>
          <w:highlight w:val="yellow"/>
        </w:rPr>
        <w:t>lso select the single most important Social Value Service Level, which shall also be publishable (four Service Levels in total). Buyers can indicate which are publishable in the table below.</w:t>
      </w:r>
    </w:p>
    <w:p w14:paraId="5AE375C7" w14:textId="77777777" w:rsidR="008567FD" w:rsidRDefault="008567FD">
      <w:pPr>
        <w:ind w:left="709"/>
        <w:rPr>
          <w:rFonts w:ascii="Arial" w:eastAsia="Arial" w:hAnsi="Arial" w:cs="Arial"/>
          <w:sz w:val="24"/>
          <w:szCs w:val="24"/>
        </w:rPr>
      </w:pPr>
    </w:p>
    <w:tbl>
      <w:tblPr>
        <w:tblStyle w:val="af5"/>
        <w:tblW w:w="103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10"/>
        <w:gridCol w:w="1890"/>
        <w:gridCol w:w="1260"/>
        <w:gridCol w:w="1515"/>
        <w:gridCol w:w="2115"/>
        <w:gridCol w:w="1845"/>
      </w:tblGrid>
      <w:tr w:rsidR="008567FD" w14:paraId="3B5774BB" w14:textId="77777777">
        <w:trPr>
          <w:trHeight w:val="1213"/>
          <w:jc w:val="center"/>
        </w:trPr>
        <w:tc>
          <w:tcPr>
            <w:tcW w:w="6375" w:type="dxa"/>
            <w:gridSpan w:val="4"/>
            <w:shd w:val="clear" w:color="auto" w:fill="D9D9D9"/>
          </w:tcPr>
          <w:p w14:paraId="632A3C6A" w14:textId="77777777" w:rsidR="008567FD" w:rsidRDefault="0013396B">
            <w:pPr>
              <w:ind w:left="95"/>
              <w:rPr>
                <w:rFonts w:ascii="Arial" w:eastAsia="Arial" w:hAnsi="Arial" w:cs="Arial"/>
                <w:sz w:val="24"/>
                <w:szCs w:val="24"/>
              </w:rPr>
            </w:pPr>
            <w:r>
              <w:rPr>
                <w:rFonts w:ascii="Arial" w:eastAsia="Arial" w:hAnsi="Arial" w:cs="Arial"/>
                <w:sz w:val="24"/>
                <w:szCs w:val="24"/>
              </w:rPr>
              <w:t>Service Levels</w:t>
            </w:r>
          </w:p>
        </w:tc>
        <w:tc>
          <w:tcPr>
            <w:tcW w:w="2115" w:type="dxa"/>
            <w:vMerge w:val="restart"/>
            <w:shd w:val="clear" w:color="auto" w:fill="D9D9D9"/>
            <w:vAlign w:val="center"/>
          </w:tcPr>
          <w:p w14:paraId="665CA8A4" w14:textId="77777777" w:rsidR="008567FD" w:rsidRDefault="0013396B">
            <w:pPr>
              <w:ind w:left="95"/>
              <w:rPr>
                <w:rFonts w:ascii="Arial" w:eastAsia="Arial" w:hAnsi="Arial" w:cs="Arial"/>
                <w:sz w:val="24"/>
                <w:szCs w:val="24"/>
              </w:rPr>
            </w:pPr>
            <w:r>
              <w:rPr>
                <w:rFonts w:ascii="Arial" w:eastAsia="Arial" w:hAnsi="Arial" w:cs="Arial"/>
                <w:sz w:val="24"/>
                <w:szCs w:val="24"/>
              </w:rPr>
              <w:t>Service Credit for each Service Period</w:t>
            </w:r>
          </w:p>
          <w:p w14:paraId="0BBE7845" w14:textId="77777777" w:rsidR="008567FD" w:rsidRDefault="008567FD">
            <w:pPr>
              <w:ind w:left="95"/>
              <w:rPr>
                <w:rFonts w:ascii="Arial" w:eastAsia="Arial" w:hAnsi="Arial" w:cs="Arial"/>
                <w:sz w:val="24"/>
                <w:szCs w:val="24"/>
              </w:rPr>
            </w:pPr>
          </w:p>
        </w:tc>
        <w:tc>
          <w:tcPr>
            <w:tcW w:w="1845" w:type="dxa"/>
            <w:shd w:val="clear" w:color="auto" w:fill="D9D9D9"/>
          </w:tcPr>
          <w:p w14:paraId="251896A1" w14:textId="77777777" w:rsidR="008567FD" w:rsidRDefault="008567FD">
            <w:pPr>
              <w:ind w:left="95"/>
              <w:rPr>
                <w:rFonts w:ascii="Arial" w:eastAsia="Arial" w:hAnsi="Arial" w:cs="Arial"/>
                <w:sz w:val="24"/>
                <w:szCs w:val="24"/>
              </w:rPr>
            </w:pPr>
          </w:p>
        </w:tc>
      </w:tr>
      <w:tr w:rsidR="008567FD" w14:paraId="414E8BFD" w14:textId="77777777">
        <w:trPr>
          <w:trHeight w:val="1213"/>
          <w:jc w:val="center"/>
        </w:trPr>
        <w:tc>
          <w:tcPr>
            <w:tcW w:w="1710" w:type="dxa"/>
            <w:shd w:val="clear" w:color="auto" w:fill="D9D9D9"/>
            <w:vAlign w:val="center"/>
          </w:tcPr>
          <w:p w14:paraId="25260666" w14:textId="77777777" w:rsidR="008567FD" w:rsidRDefault="0013396B">
            <w:pPr>
              <w:ind w:left="61"/>
              <w:rPr>
                <w:rFonts w:ascii="Arial" w:eastAsia="Arial" w:hAnsi="Arial" w:cs="Arial"/>
                <w:sz w:val="24"/>
                <w:szCs w:val="24"/>
              </w:rPr>
            </w:pPr>
            <w:r>
              <w:rPr>
                <w:rFonts w:ascii="Arial" w:eastAsia="Arial" w:hAnsi="Arial" w:cs="Arial"/>
                <w:sz w:val="24"/>
                <w:szCs w:val="24"/>
              </w:rPr>
              <w:t>Service</w:t>
            </w:r>
            <w:r>
              <w:rPr>
                <w:rFonts w:ascii="Arial" w:eastAsia="Arial" w:hAnsi="Arial" w:cs="Arial"/>
                <w:sz w:val="24"/>
                <w:szCs w:val="24"/>
              </w:rPr>
              <w:t xml:space="preserve"> Level Performance Criterion</w:t>
            </w:r>
          </w:p>
        </w:tc>
        <w:tc>
          <w:tcPr>
            <w:tcW w:w="1890" w:type="dxa"/>
            <w:shd w:val="clear" w:color="auto" w:fill="D9D9D9"/>
            <w:vAlign w:val="center"/>
          </w:tcPr>
          <w:p w14:paraId="3ED03013" w14:textId="77777777" w:rsidR="008567FD" w:rsidRDefault="0013396B">
            <w:pPr>
              <w:ind w:left="95"/>
              <w:rPr>
                <w:rFonts w:ascii="Arial" w:eastAsia="Arial" w:hAnsi="Arial" w:cs="Arial"/>
                <w:sz w:val="24"/>
                <w:szCs w:val="24"/>
              </w:rPr>
            </w:pPr>
            <w:r>
              <w:rPr>
                <w:rFonts w:ascii="Arial" w:eastAsia="Arial" w:hAnsi="Arial" w:cs="Arial"/>
                <w:sz w:val="24"/>
                <w:szCs w:val="24"/>
              </w:rPr>
              <w:t>Key Indicator</w:t>
            </w:r>
          </w:p>
        </w:tc>
        <w:tc>
          <w:tcPr>
            <w:tcW w:w="1260" w:type="dxa"/>
            <w:shd w:val="clear" w:color="auto" w:fill="D9D9D9"/>
            <w:vAlign w:val="center"/>
          </w:tcPr>
          <w:p w14:paraId="53D12B82" w14:textId="77777777" w:rsidR="008567FD" w:rsidRDefault="0013396B">
            <w:pPr>
              <w:rPr>
                <w:rFonts w:ascii="Arial" w:eastAsia="Arial" w:hAnsi="Arial" w:cs="Arial"/>
                <w:sz w:val="24"/>
                <w:szCs w:val="24"/>
              </w:rPr>
            </w:pPr>
            <w:r>
              <w:rPr>
                <w:rFonts w:ascii="Arial" w:eastAsia="Arial" w:hAnsi="Arial" w:cs="Arial"/>
                <w:sz w:val="24"/>
                <w:szCs w:val="24"/>
              </w:rPr>
              <w:t>Service Level Performance Measure</w:t>
            </w:r>
          </w:p>
        </w:tc>
        <w:tc>
          <w:tcPr>
            <w:tcW w:w="1515" w:type="dxa"/>
            <w:shd w:val="clear" w:color="auto" w:fill="D9D9D9"/>
          </w:tcPr>
          <w:p w14:paraId="1A7EF591" w14:textId="77777777" w:rsidR="008567FD" w:rsidRDefault="0013396B">
            <w:pPr>
              <w:ind w:left="95"/>
              <w:rPr>
                <w:rFonts w:ascii="Arial" w:eastAsia="Arial" w:hAnsi="Arial" w:cs="Arial"/>
                <w:sz w:val="24"/>
                <w:szCs w:val="24"/>
              </w:rPr>
            </w:pPr>
            <w:r>
              <w:rPr>
                <w:rFonts w:ascii="Arial" w:eastAsia="Arial" w:hAnsi="Arial" w:cs="Arial"/>
                <w:sz w:val="24"/>
                <w:szCs w:val="24"/>
              </w:rPr>
              <w:t>Service Level Threshold</w:t>
            </w:r>
          </w:p>
        </w:tc>
        <w:tc>
          <w:tcPr>
            <w:tcW w:w="2115" w:type="dxa"/>
            <w:vMerge/>
            <w:shd w:val="clear" w:color="auto" w:fill="D9D9D9"/>
            <w:vAlign w:val="center"/>
          </w:tcPr>
          <w:p w14:paraId="139F7F44" w14:textId="77777777" w:rsidR="008567FD" w:rsidRDefault="008567FD">
            <w:pPr>
              <w:widowControl w:val="0"/>
              <w:pBdr>
                <w:top w:val="nil"/>
                <w:left w:val="nil"/>
                <w:bottom w:val="nil"/>
                <w:right w:val="nil"/>
                <w:between w:val="nil"/>
              </w:pBdr>
              <w:spacing w:line="276" w:lineRule="auto"/>
              <w:rPr>
                <w:rFonts w:ascii="Arial" w:eastAsia="Arial" w:hAnsi="Arial" w:cs="Arial"/>
                <w:sz w:val="24"/>
                <w:szCs w:val="24"/>
              </w:rPr>
            </w:pPr>
          </w:p>
        </w:tc>
        <w:tc>
          <w:tcPr>
            <w:tcW w:w="1845" w:type="dxa"/>
            <w:shd w:val="clear" w:color="auto" w:fill="D9D9D9"/>
          </w:tcPr>
          <w:p w14:paraId="68E20108" w14:textId="77777777" w:rsidR="008567FD" w:rsidRDefault="0013396B">
            <w:pPr>
              <w:ind w:left="95"/>
              <w:rPr>
                <w:rFonts w:ascii="Arial" w:eastAsia="Arial" w:hAnsi="Arial" w:cs="Arial"/>
                <w:sz w:val="24"/>
                <w:szCs w:val="24"/>
              </w:rPr>
            </w:pPr>
            <w:r>
              <w:rPr>
                <w:rFonts w:ascii="Arial" w:eastAsia="Arial" w:hAnsi="Arial" w:cs="Arial"/>
                <w:sz w:val="24"/>
                <w:szCs w:val="24"/>
              </w:rPr>
              <w:t xml:space="preserve">Publishable? </w:t>
            </w:r>
          </w:p>
        </w:tc>
      </w:tr>
      <w:tr w:rsidR="008567FD" w14:paraId="4396277E" w14:textId="77777777">
        <w:trPr>
          <w:trHeight w:val="1474"/>
          <w:jc w:val="center"/>
        </w:trPr>
        <w:tc>
          <w:tcPr>
            <w:tcW w:w="1710" w:type="dxa"/>
          </w:tcPr>
          <w:p w14:paraId="7D5D3AF4" w14:textId="77777777" w:rsidR="008567FD" w:rsidRDefault="0013396B">
            <w:pPr>
              <w:spacing w:after="120"/>
              <w:ind w:left="61"/>
              <w:rPr>
                <w:rFonts w:ascii="Arial" w:eastAsia="Arial" w:hAnsi="Arial" w:cs="Arial"/>
                <w:sz w:val="24"/>
                <w:szCs w:val="24"/>
              </w:rPr>
            </w:pPr>
            <w:r>
              <w:rPr>
                <w:rFonts w:ascii="Arial" w:eastAsia="Arial" w:hAnsi="Arial" w:cs="Arial"/>
                <w:sz w:val="24"/>
                <w:szCs w:val="24"/>
                <w:highlight w:val="yellow"/>
              </w:rPr>
              <w:t>Response Times</w:t>
            </w:r>
          </w:p>
          <w:p w14:paraId="7CAB9EDE" w14:textId="77777777" w:rsidR="008567FD" w:rsidRDefault="008567FD">
            <w:pPr>
              <w:spacing w:after="120"/>
              <w:ind w:left="61"/>
              <w:rPr>
                <w:rFonts w:ascii="Arial" w:eastAsia="Arial" w:hAnsi="Arial" w:cs="Arial"/>
                <w:sz w:val="24"/>
                <w:szCs w:val="24"/>
              </w:rPr>
            </w:pPr>
          </w:p>
        </w:tc>
        <w:tc>
          <w:tcPr>
            <w:tcW w:w="1890" w:type="dxa"/>
          </w:tcPr>
          <w:p w14:paraId="5EFAB125" w14:textId="77777777" w:rsidR="008567FD" w:rsidRDefault="0013396B">
            <w:pPr>
              <w:spacing w:after="120"/>
              <w:ind w:left="95"/>
              <w:rPr>
                <w:rFonts w:ascii="Arial" w:eastAsia="Arial" w:hAnsi="Arial" w:cs="Arial"/>
                <w:sz w:val="24"/>
                <w:szCs w:val="24"/>
              </w:rPr>
            </w:pPr>
            <w:r>
              <w:rPr>
                <w:rFonts w:ascii="Arial" w:eastAsia="Arial" w:hAnsi="Arial" w:cs="Arial"/>
                <w:sz w:val="24"/>
                <w:szCs w:val="24"/>
                <w:highlight w:val="yellow"/>
              </w:rPr>
              <w:t>Cost and inconvenience</w:t>
            </w:r>
          </w:p>
        </w:tc>
        <w:tc>
          <w:tcPr>
            <w:tcW w:w="1260" w:type="dxa"/>
          </w:tcPr>
          <w:p w14:paraId="526AB414" w14:textId="77777777" w:rsidR="008567FD" w:rsidRDefault="0013396B">
            <w:pPr>
              <w:spacing w:after="120"/>
              <w:rPr>
                <w:rFonts w:ascii="Arial" w:eastAsia="Arial" w:hAnsi="Arial" w:cs="Arial"/>
                <w:sz w:val="24"/>
                <w:szCs w:val="24"/>
                <w:highlight w:val="yellow"/>
              </w:rPr>
            </w:pPr>
            <w:r>
              <w:rPr>
                <w:rFonts w:ascii="Arial" w:eastAsia="Arial" w:hAnsi="Arial" w:cs="Arial"/>
                <w:sz w:val="24"/>
                <w:szCs w:val="24"/>
                <w:highlight w:val="yellow"/>
              </w:rPr>
              <w:t>at least 98% at all times</w:t>
            </w:r>
          </w:p>
          <w:p w14:paraId="628B42B9" w14:textId="77777777" w:rsidR="008567FD" w:rsidRDefault="008567FD">
            <w:pPr>
              <w:spacing w:after="120"/>
              <w:rPr>
                <w:rFonts w:ascii="Arial" w:eastAsia="Arial" w:hAnsi="Arial" w:cs="Arial"/>
                <w:sz w:val="24"/>
                <w:szCs w:val="24"/>
              </w:rPr>
            </w:pPr>
          </w:p>
        </w:tc>
        <w:tc>
          <w:tcPr>
            <w:tcW w:w="1515" w:type="dxa"/>
          </w:tcPr>
          <w:p w14:paraId="138B9CC9" w14:textId="77777777" w:rsidR="008567FD" w:rsidRDefault="0013396B">
            <w:pPr>
              <w:spacing w:after="120"/>
              <w:ind w:left="95"/>
              <w:rPr>
                <w:rFonts w:ascii="Arial" w:eastAsia="Arial" w:hAnsi="Arial" w:cs="Arial"/>
                <w:sz w:val="24"/>
                <w:szCs w:val="24"/>
              </w:rPr>
            </w:pPr>
            <w:r>
              <w:rPr>
                <w:rFonts w:ascii="Arial" w:eastAsia="Arial" w:hAnsi="Arial" w:cs="Arial"/>
                <w:sz w:val="24"/>
                <w:szCs w:val="24"/>
              </w:rPr>
              <w:t>[   ]</w:t>
            </w:r>
          </w:p>
        </w:tc>
        <w:tc>
          <w:tcPr>
            <w:tcW w:w="2115" w:type="dxa"/>
          </w:tcPr>
          <w:p w14:paraId="6E0A7BDF" w14:textId="77777777" w:rsidR="008567FD" w:rsidRDefault="0013396B">
            <w:pPr>
              <w:spacing w:after="120"/>
              <w:ind w:left="95"/>
              <w:rPr>
                <w:rFonts w:ascii="Arial" w:eastAsia="Arial" w:hAnsi="Arial" w:cs="Arial"/>
                <w:sz w:val="24"/>
                <w:szCs w:val="24"/>
              </w:rPr>
            </w:pPr>
            <w:r>
              <w:rPr>
                <w:rFonts w:ascii="Arial" w:eastAsia="Arial" w:hAnsi="Arial" w:cs="Arial"/>
                <w:sz w:val="24"/>
                <w:szCs w:val="24"/>
                <w:highlight w:val="yellow"/>
              </w:rPr>
              <w:t>To be calculated as a percentage (%) reduction of the service revenue element of the previous quarter’s print output volume</w:t>
            </w:r>
            <w:r>
              <w:rPr>
                <w:rFonts w:ascii="Arial" w:eastAsia="Arial" w:hAnsi="Arial" w:cs="Arial"/>
                <w:sz w:val="24"/>
                <w:szCs w:val="24"/>
              </w:rPr>
              <w:t xml:space="preserve">. </w:t>
            </w:r>
            <w:r>
              <w:rPr>
                <w:rFonts w:ascii="Arial" w:eastAsia="Arial" w:hAnsi="Arial" w:cs="Arial"/>
                <w:sz w:val="24"/>
                <w:szCs w:val="24"/>
                <w:highlight w:val="yellow"/>
              </w:rPr>
              <w:t xml:space="preserve">Service Credits shall be applied to the total quarterly service revenue value, inclusive of mono and colour volume charges, </w:t>
            </w:r>
            <w:r>
              <w:rPr>
                <w:rFonts w:ascii="Arial" w:eastAsia="Arial" w:hAnsi="Arial" w:cs="Arial"/>
                <w:sz w:val="24"/>
                <w:szCs w:val="24"/>
                <w:highlight w:val="yellow"/>
              </w:rPr>
              <w:lastRenderedPageBreak/>
              <w:t>where a</w:t>
            </w:r>
            <w:r>
              <w:rPr>
                <w:rFonts w:ascii="Arial" w:eastAsia="Arial" w:hAnsi="Arial" w:cs="Arial"/>
                <w:sz w:val="24"/>
                <w:szCs w:val="24"/>
                <w:highlight w:val="yellow"/>
              </w:rPr>
              <w:t>pplicable.</w:t>
            </w:r>
          </w:p>
        </w:tc>
        <w:tc>
          <w:tcPr>
            <w:tcW w:w="1845" w:type="dxa"/>
          </w:tcPr>
          <w:p w14:paraId="233F0456" w14:textId="77777777" w:rsidR="008567FD" w:rsidRDefault="0013396B">
            <w:pPr>
              <w:spacing w:after="120"/>
              <w:ind w:left="95"/>
              <w:rPr>
                <w:rFonts w:ascii="Arial" w:eastAsia="Arial" w:hAnsi="Arial" w:cs="Arial"/>
              </w:rPr>
            </w:pPr>
            <w:r>
              <w:rPr>
                <w:rFonts w:ascii="Arial" w:eastAsia="Arial" w:hAnsi="Arial" w:cs="Arial"/>
              </w:rPr>
              <w:lastRenderedPageBreak/>
              <w:t>[Yes/No]</w:t>
            </w:r>
          </w:p>
        </w:tc>
      </w:tr>
      <w:tr w:rsidR="008567FD" w14:paraId="5E29B76B" w14:textId="77777777">
        <w:trPr>
          <w:trHeight w:val="1474"/>
          <w:jc w:val="center"/>
        </w:trPr>
        <w:tc>
          <w:tcPr>
            <w:tcW w:w="1710" w:type="dxa"/>
          </w:tcPr>
          <w:p w14:paraId="7275D4DA" w14:textId="77777777" w:rsidR="008567FD" w:rsidRDefault="0013396B">
            <w:pPr>
              <w:spacing w:after="120"/>
              <w:ind w:left="61"/>
              <w:rPr>
                <w:rFonts w:ascii="Arial" w:eastAsia="Arial" w:hAnsi="Arial" w:cs="Arial"/>
                <w:sz w:val="24"/>
                <w:szCs w:val="24"/>
              </w:rPr>
            </w:pPr>
            <w:r>
              <w:rPr>
                <w:rFonts w:ascii="Arial" w:eastAsia="Arial" w:hAnsi="Arial" w:cs="Arial"/>
                <w:sz w:val="24"/>
                <w:szCs w:val="24"/>
                <w:highlight w:val="yellow"/>
              </w:rPr>
              <w:t xml:space="preserve">Response Times </w:t>
            </w:r>
          </w:p>
        </w:tc>
        <w:tc>
          <w:tcPr>
            <w:tcW w:w="1890" w:type="dxa"/>
          </w:tcPr>
          <w:p w14:paraId="2D73A55C" w14:textId="77777777" w:rsidR="008567FD" w:rsidRDefault="0013396B">
            <w:pPr>
              <w:spacing w:after="120"/>
              <w:ind w:left="95"/>
              <w:rPr>
                <w:rFonts w:ascii="Arial" w:eastAsia="Arial" w:hAnsi="Arial" w:cs="Arial"/>
                <w:sz w:val="24"/>
                <w:szCs w:val="24"/>
              </w:rPr>
            </w:pPr>
            <w:r>
              <w:rPr>
                <w:rFonts w:ascii="Arial" w:eastAsia="Arial" w:hAnsi="Arial" w:cs="Arial"/>
                <w:sz w:val="24"/>
                <w:szCs w:val="24"/>
                <w:highlight w:val="yellow"/>
              </w:rPr>
              <w:t>Timelines</w:t>
            </w:r>
          </w:p>
        </w:tc>
        <w:tc>
          <w:tcPr>
            <w:tcW w:w="1260" w:type="dxa"/>
          </w:tcPr>
          <w:p w14:paraId="489B7F22" w14:textId="77777777" w:rsidR="008567FD" w:rsidRDefault="0013396B">
            <w:pPr>
              <w:spacing w:after="120"/>
              <w:rPr>
                <w:rFonts w:ascii="Arial" w:eastAsia="Arial" w:hAnsi="Arial" w:cs="Arial"/>
                <w:sz w:val="24"/>
                <w:szCs w:val="24"/>
                <w:highlight w:val="yellow"/>
              </w:rPr>
            </w:pPr>
            <w:r>
              <w:rPr>
                <w:rFonts w:ascii="Arial" w:eastAsia="Arial" w:hAnsi="Arial" w:cs="Arial"/>
                <w:sz w:val="24"/>
                <w:szCs w:val="24"/>
                <w:highlight w:val="yellow"/>
              </w:rPr>
              <w:t>at least 98% at all times</w:t>
            </w:r>
          </w:p>
          <w:p w14:paraId="1069047C" w14:textId="77777777" w:rsidR="008567FD" w:rsidRDefault="008567FD">
            <w:pPr>
              <w:spacing w:after="120"/>
              <w:rPr>
                <w:rFonts w:ascii="Arial" w:eastAsia="Arial" w:hAnsi="Arial" w:cs="Arial"/>
                <w:sz w:val="24"/>
                <w:szCs w:val="24"/>
              </w:rPr>
            </w:pPr>
          </w:p>
        </w:tc>
        <w:tc>
          <w:tcPr>
            <w:tcW w:w="1515" w:type="dxa"/>
          </w:tcPr>
          <w:p w14:paraId="27DDC750" w14:textId="77777777" w:rsidR="008567FD" w:rsidRDefault="0013396B">
            <w:pPr>
              <w:spacing w:after="120"/>
              <w:ind w:left="95"/>
              <w:rPr>
                <w:rFonts w:ascii="Arial" w:eastAsia="Arial" w:hAnsi="Arial" w:cs="Arial"/>
                <w:sz w:val="24"/>
                <w:szCs w:val="24"/>
              </w:rPr>
            </w:pPr>
            <w:r>
              <w:rPr>
                <w:rFonts w:ascii="Arial" w:eastAsia="Arial" w:hAnsi="Arial" w:cs="Arial"/>
                <w:sz w:val="24"/>
                <w:szCs w:val="24"/>
                <w:highlight w:val="yellow"/>
              </w:rPr>
              <w:t>[ ]</w:t>
            </w:r>
          </w:p>
        </w:tc>
        <w:tc>
          <w:tcPr>
            <w:tcW w:w="2115" w:type="dxa"/>
          </w:tcPr>
          <w:p w14:paraId="02341FBC" w14:textId="77777777" w:rsidR="008567FD" w:rsidRDefault="0013396B">
            <w:pPr>
              <w:spacing w:after="120"/>
              <w:ind w:left="95"/>
              <w:rPr>
                <w:rFonts w:ascii="Arial" w:eastAsia="Arial" w:hAnsi="Arial" w:cs="Arial"/>
                <w:sz w:val="24"/>
                <w:szCs w:val="24"/>
              </w:rPr>
            </w:pPr>
            <w:r>
              <w:rPr>
                <w:rFonts w:ascii="Arial" w:eastAsia="Arial" w:hAnsi="Arial" w:cs="Arial"/>
                <w:sz w:val="24"/>
                <w:szCs w:val="24"/>
                <w:highlight w:val="yellow"/>
              </w:rPr>
              <w:t>3% where a five (5) hour average Response Time is exceeded and 5% where a six (6) hour average response time is exceeded</w:t>
            </w:r>
          </w:p>
        </w:tc>
        <w:tc>
          <w:tcPr>
            <w:tcW w:w="1845" w:type="dxa"/>
          </w:tcPr>
          <w:p w14:paraId="24B21058" w14:textId="77777777" w:rsidR="008567FD" w:rsidRDefault="0013396B">
            <w:pPr>
              <w:spacing w:after="120"/>
              <w:ind w:left="95"/>
              <w:rPr>
                <w:rFonts w:ascii="Arial" w:eastAsia="Arial" w:hAnsi="Arial" w:cs="Arial"/>
              </w:rPr>
            </w:pPr>
            <w:r>
              <w:rPr>
                <w:rFonts w:ascii="Arial" w:eastAsia="Arial" w:hAnsi="Arial" w:cs="Arial"/>
              </w:rPr>
              <w:t>[Yes/No]</w:t>
            </w:r>
          </w:p>
        </w:tc>
      </w:tr>
      <w:tr w:rsidR="008567FD" w14:paraId="5E1DB220" w14:textId="77777777">
        <w:trPr>
          <w:trHeight w:val="1474"/>
          <w:jc w:val="center"/>
        </w:trPr>
        <w:tc>
          <w:tcPr>
            <w:tcW w:w="1710" w:type="dxa"/>
          </w:tcPr>
          <w:p w14:paraId="016E5E3D" w14:textId="77777777" w:rsidR="008567FD" w:rsidRDefault="0013396B">
            <w:pPr>
              <w:spacing w:after="120"/>
              <w:ind w:left="61"/>
              <w:rPr>
                <w:rFonts w:ascii="Arial" w:eastAsia="Arial" w:hAnsi="Arial" w:cs="Arial"/>
                <w:sz w:val="24"/>
                <w:szCs w:val="24"/>
              </w:rPr>
            </w:pPr>
            <w:r>
              <w:rPr>
                <w:rFonts w:ascii="Arial" w:eastAsia="Arial" w:hAnsi="Arial" w:cs="Arial"/>
                <w:sz w:val="24"/>
                <w:szCs w:val="24"/>
              </w:rPr>
              <w:t>Accurate and timely billing of Buyer</w:t>
            </w:r>
          </w:p>
          <w:p w14:paraId="0221FFE3" w14:textId="77777777" w:rsidR="008567FD" w:rsidRDefault="008567FD">
            <w:pPr>
              <w:spacing w:after="120"/>
              <w:rPr>
                <w:rFonts w:ascii="Arial" w:eastAsia="Arial" w:hAnsi="Arial" w:cs="Arial"/>
                <w:sz w:val="24"/>
                <w:szCs w:val="24"/>
              </w:rPr>
            </w:pPr>
          </w:p>
        </w:tc>
        <w:tc>
          <w:tcPr>
            <w:tcW w:w="1890" w:type="dxa"/>
          </w:tcPr>
          <w:p w14:paraId="6D626401" w14:textId="77777777" w:rsidR="008567FD" w:rsidRDefault="0013396B">
            <w:pPr>
              <w:spacing w:after="120"/>
              <w:ind w:left="95"/>
              <w:rPr>
                <w:rFonts w:ascii="Arial" w:eastAsia="Arial" w:hAnsi="Arial" w:cs="Arial"/>
                <w:sz w:val="24"/>
                <w:szCs w:val="24"/>
              </w:rPr>
            </w:pPr>
            <w:r>
              <w:rPr>
                <w:rFonts w:ascii="Arial" w:eastAsia="Arial" w:hAnsi="Arial" w:cs="Arial"/>
                <w:sz w:val="24"/>
                <w:szCs w:val="24"/>
              </w:rPr>
              <w:t>Accuracy /Timelines</w:t>
            </w:r>
          </w:p>
          <w:p w14:paraId="72A37D12" w14:textId="77777777" w:rsidR="008567FD" w:rsidRDefault="008567FD">
            <w:pPr>
              <w:spacing w:after="120"/>
              <w:ind w:left="95"/>
              <w:rPr>
                <w:rFonts w:ascii="Arial" w:eastAsia="Arial" w:hAnsi="Arial" w:cs="Arial"/>
                <w:sz w:val="24"/>
                <w:szCs w:val="24"/>
              </w:rPr>
            </w:pPr>
          </w:p>
        </w:tc>
        <w:tc>
          <w:tcPr>
            <w:tcW w:w="1260" w:type="dxa"/>
          </w:tcPr>
          <w:p w14:paraId="0502130E" w14:textId="77777777" w:rsidR="008567FD" w:rsidRDefault="0013396B">
            <w:pPr>
              <w:spacing w:after="120"/>
              <w:rPr>
                <w:rFonts w:ascii="Arial" w:eastAsia="Arial" w:hAnsi="Arial" w:cs="Arial"/>
                <w:sz w:val="24"/>
                <w:szCs w:val="24"/>
              </w:rPr>
            </w:pPr>
            <w:r>
              <w:rPr>
                <w:rFonts w:ascii="Arial" w:eastAsia="Arial" w:hAnsi="Arial" w:cs="Arial"/>
                <w:sz w:val="24"/>
                <w:szCs w:val="24"/>
              </w:rPr>
              <w:t>at least 98% at all times</w:t>
            </w:r>
          </w:p>
          <w:p w14:paraId="3BA1A8C6" w14:textId="77777777" w:rsidR="008567FD" w:rsidRDefault="008567FD">
            <w:pPr>
              <w:spacing w:after="120"/>
              <w:rPr>
                <w:rFonts w:ascii="Arial" w:eastAsia="Arial" w:hAnsi="Arial" w:cs="Arial"/>
                <w:sz w:val="24"/>
                <w:szCs w:val="24"/>
              </w:rPr>
            </w:pPr>
          </w:p>
        </w:tc>
        <w:tc>
          <w:tcPr>
            <w:tcW w:w="1515" w:type="dxa"/>
          </w:tcPr>
          <w:p w14:paraId="43D47F9B" w14:textId="77777777" w:rsidR="008567FD" w:rsidRDefault="0013396B">
            <w:pPr>
              <w:spacing w:after="120"/>
              <w:ind w:left="95"/>
              <w:rPr>
                <w:rFonts w:ascii="Arial" w:eastAsia="Arial" w:hAnsi="Arial" w:cs="Arial"/>
                <w:sz w:val="24"/>
                <w:szCs w:val="24"/>
              </w:rPr>
            </w:pPr>
            <w:r>
              <w:rPr>
                <w:rFonts w:ascii="Arial" w:eastAsia="Arial" w:hAnsi="Arial" w:cs="Arial"/>
                <w:sz w:val="24"/>
                <w:szCs w:val="24"/>
              </w:rPr>
              <w:t>[   ]</w:t>
            </w:r>
          </w:p>
        </w:tc>
        <w:tc>
          <w:tcPr>
            <w:tcW w:w="2115" w:type="dxa"/>
          </w:tcPr>
          <w:p w14:paraId="4A3048AE" w14:textId="77777777" w:rsidR="008567FD" w:rsidRDefault="0013396B">
            <w:pPr>
              <w:spacing w:after="120"/>
              <w:ind w:left="95"/>
              <w:rPr>
                <w:rFonts w:ascii="Arial" w:eastAsia="Arial" w:hAnsi="Arial" w:cs="Arial"/>
                <w:sz w:val="24"/>
                <w:szCs w:val="24"/>
              </w:rPr>
            </w:pPr>
            <w:r>
              <w:rPr>
                <w:rFonts w:ascii="Arial" w:eastAsia="Arial" w:hAnsi="Arial" w:cs="Arial"/>
                <w:sz w:val="24"/>
                <w:szCs w:val="24"/>
              </w:rPr>
              <w:t>0.5% Service Credit gained for each percentage under the specified Service Level Performance Measure</w:t>
            </w:r>
          </w:p>
        </w:tc>
        <w:tc>
          <w:tcPr>
            <w:tcW w:w="1845" w:type="dxa"/>
          </w:tcPr>
          <w:p w14:paraId="39612037" w14:textId="77777777" w:rsidR="008567FD" w:rsidRDefault="0013396B">
            <w:pPr>
              <w:spacing w:after="120"/>
              <w:ind w:left="95"/>
              <w:rPr>
                <w:rFonts w:ascii="Arial" w:eastAsia="Arial" w:hAnsi="Arial" w:cs="Arial"/>
              </w:rPr>
            </w:pPr>
            <w:r>
              <w:rPr>
                <w:rFonts w:ascii="Arial" w:eastAsia="Arial" w:hAnsi="Arial" w:cs="Arial"/>
              </w:rPr>
              <w:t>[Yes/No]</w:t>
            </w:r>
          </w:p>
        </w:tc>
      </w:tr>
      <w:tr w:rsidR="008567FD" w14:paraId="5EE282CD" w14:textId="77777777">
        <w:trPr>
          <w:trHeight w:val="1474"/>
          <w:jc w:val="center"/>
        </w:trPr>
        <w:tc>
          <w:tcPr>
            <w:tcW w:w="1710" w:type="dxa"/>
          </w:tcPr>
          <w:p w14:paraId="34474ECA" w14:textId="77777777" w:rsidR="008567FD" w:rsidRDefault="0013396B">
            <w:pPr>
              <w:spacing w:after="120"/>
              <w:ind w:left="61"/>
              <w:rPr>
                <w:rFonts w:ascii="Arial" w:eastAsia="Arial" w:hAnsi="Arial" w:cs="Arial"/>
                <w:sz w:val="24"/>
                <w:szCs w:val="24"/>
              </w:rPr>
            </w:pPr>
            <w:r>
              <w:rPr>
                <w:rFonts w:ascii="Arial" w:eastAsia="Arial" w:hAnsi="Arial" w:cs="Arial"/>
                <w:sz w:val="24"/>
                <w:szCs w:val="24"/>
              </w:rPr>
              <w:t>Access to Buyer support</w:t>
            </w:r>
          </w:p>
          <w:p w14:paraId="2EA67B11" w14:textId="77777777" w:rsidR="008567FD" w:rsidRDefault="008567FD">
            <w:pPr>
              <w:spacing w:after="120"/>
              <w:rPr>
                <w:rFonts w:ascii="Arial" w:eastAsia="Arial" w:hAnsi="Arial" w:cs="Arial"/>
                <w:sz w:val="24"/>
                <w:szCs w:val="24"/>
              </w:rPr>
            </w:pPr>
          </w:p>
        </w:tc>
        <w:tc>
          <w:tcPr>
            <w:tcW w:w="1890" w:type="dxa"/>
          </w:tcPr>
          <w:p w14:paraId="43CC134B" w14:textId="77777777" w:rsidR="008567FD" w:rsidRDefault="0013396B">
            <w:pPr>
              <w:spacing w:after="120"/>
              <w:ind w:left="95"/>
              <w:rPr>
                <w:rFonts w:ascii="Arial" w:eastAsia="Arial" w:hAnsi="Arial" w:cs="Arial"/>
                <w:sz w:val="24"/>
                <w:szCs w:val="24"/>
              </w:rPr>
            </w:pPr>
            <w:r>
              <w:rPr>
                <w:rFonts w:ascii="Arial" w:eastAsia="Arial" w:hAnsi="Arial" w:cs="Arial"/>
                <w:sz w:val="24"/>
                <w:szCs w:val="24"/>
              </w:rPr>
              <w:t>Availability</w:t>
            </w:r>
          </w:p>
          <w:p w14:paraId="070CEF1A" w14:textId="77777777" w:rsidR="008567FD" w:rsidRDefault="008567FD">
            <w:pPr>
              <w:spacing w:after="120"/>
              <w:ind w:left="95"/>
              <w:rPr>
                <w:rFonts w:ascii="Arial" w:eastAsia="Arial" w:hAnsi="Arial" w:cs="Arial"/>
                <w:sz w:val="24"/>
                <w:szCs w:val="24"/>
              </w:rPr>
            </w:pPr>
          </w:p>
          <w:p w14:paraId="163D7D88" w14:textId="77777777" w:rsidR="008567FD" w:rsidRDefault="008567FD">
            <w:pPr>
              <w:spacing w:after="120"/>
              <w:ind w:left="95"/>
              <w:rPr>
                <w:rFonts w:ascii="Arial" w:eastAsia="Arial" w:hAnsi="Arial" w:cs="Arial"/>
                <w:sz w:val="24"/>
                <w:szCs w:val="24"/>
              </w:rPr>
            </w:pPr>
          </w:p>
        </w:tc>
        <w:tc>
          <w:tcPr>
            <w:tcW w:w="1260" w:type="dxa"/>
          </w:tcPr>
          <w:p w14:paraId="50059004" w14:textId="77777777" w:rsidR="008567FD" w:rsidRDefault="0013396B">
            <w:pPr>
              <w:spacing w:after="120"/>
              <w:rPr>
                <w:rFonts w:ascii="Arial" w:eastAsia="Arial" w:hAnsi="Arial" w:cs="Arial"/>
                <w:sz w:val="24"/>
                <w:szCs w:val="24"/>
              </w:rPr>
            </w:pPr>
            <w:r>
              <w:rPr>
                <w:rFonts w:ascii="Arial" w:eastAsia="Arial" w:hAnsi="Arial" w:cs="Arial"/>
                <w:sz w:val="24"/>
                <w:szCs w:val="24"/>
              </w:rPr>
              <w:t>at least 98% at all times</w:t>
            </w:r>
          </w:p>
          <w:p w14:paraId="0072B97B" w14:textId="77777777" w:rsidR="008567FD" w:rsidRDefault="008567FD">
            <w:pPr>
              <w:spacing w:after="120"/>
              <w:rPr>
                <w:rFonts w:ascii="Arial" w:eastAsia="Arial" w:hAnsi="Arial" w:cs="Arial"/>
                <w:sz w:val="24"/>
                <w:szCs w:val="24"/>
              </w:rPr>
            </w:pPr>
          </w:p>
        </w:tc>
        <w:tc>
          <w:tcPr>
            <w:tcW w:w="1515" w:type="dxa"/>
          </w:tcPr>
          <w:p w14:paraId="4C4256DC" w14:textId="77777777" w:rsidR="008567FD" w:rsidRDefault="0013396B">
            <w:pPr>
              <w:spacing w:after="120"/>
              <w:ind w:left="95"/>
              <w:rPr>
                <w:rFonts w:ascii="Arial" w:eastAsia="Arial" w:hAnsi="Arial" w:cs="Arial"/>
                <w:sz w:val="24"/>
                <w:szCs w:val="24"/>
              </w:rPr>
            </w:pPr>
            <w:r>
              <w:rPr>
                <w:rFonts w:ascii="Arial" w:eastAsia="Arial" w:hAnsi="Arial" w:cs="Arial"/>
                <w:sz w:val="24"/>
                <w:szCs w:val="24"/>
              </w:rPr>
              <w:t>[   ]</w:t>
            </w:r>
          </w:p>
        </w:tc>
        <w:tc>
          <w:tcPr>
            <w:tcW w:w="2115" w:type="dxa"/>
          </w:tcPr>
          <w:p w14:paraId="280B1216" w14:textId="77777777" w:rsidR="008567FD" w:rsidRDefault="0013396B">
            <w:pPr>
              <w:spacing w:after="120"/>
              <w:ind w:left="95"/>
              <w:rPr>
                <w:rFonts w:ascii="Arial" w:eastAsia="Arial" w:hAnsi="Arial" w:cs="Arial"/>
                <w:sz w:val="24"/>
                <w:szCs w:val="24"/>
              </w:rPr>
            </w:pPr>
            <w:r>
              <w:rPr>
                <w:rFonts w:ascii="Arial" w:eastAsia="Arial" w:hAnsi="Arial" w:cs="Arial"/>
                <w:sz w:val="24"/>
                <w:szCs w:val="24"/>
              </w:rPr>
              <w:t>0.5% Service Credit gained for each percentage under the specified Service Level Performance Measure</w:t>
            </w:r>
          </w:p>
        </w:tc>
        <w:tc>
          <w:tcPr>
            <w:tcW w:w="1845" w:type="dxa"/>
          </w:tcPr>
          <w:p w14:paraId="4BC1A4F7" w14:textId="77777777" w:rsidR="008567FD" w:rsidRDefault="0013396B">
            <w:pPr>
              <w:spacing w:after="120"/>
              <w:ind w:left="95"/>
              <w:rPr>
                <w:rFonts w:ascii="Arial" w:eastAsia="Arial" w:hAnsi="Arial" w:cs="Arial"/>
              </w:rPr>
            </w:pPr>
            <w:r>
              <w:rPr>
                <w:rFonts w:ascii="Arial" w:eastAsia="Arial" w:hAnsi="Arial" w:cs="Arial"/>
              </w:rPr>
              <w:t>[Yes/No]</w:t>
            </w:r>
          </w:p>
        </w:tc>
      </w:tr>
      <w:tr w:rsidR="008567FD" w14:paraId="42C39E92" w14:textId="77777777">
        <w:trPr>
          <w:trHeight w:val="1474"/>
          <w:jc w:val="center"/>
        </w:trPr>
        <w:tc>
          <w:tcPr>
            <w:tcW w:w="1710" w:type="dxa"/>
          </w:tcPr>
          <w:p w14:paraId="32C0E1F8" w14:textId="77777777" w:rsidR="008567FD" w:rsidRDefault="0013396B">
            <w:pPr>
              <w:spacing w:after="120"/>
              <w:ind w:left="61"/>
              <w:rPr>
                <w:rFonts w:ascii="Arial" w:eastAsia="Arial" w:hAnsi="Arial" w:cs="Arial"/>
                <w:sz w:val="24"/>
                <w:szCs w:val="24"/>
                <w:highlight w:val="yellow"/>
              </w:rPr>
            </w:pPr>
            <w:r>
              <w:rPr>
                <w:rFonts w:ascii="Arial" w:eastAsia="Arial" w:hAnsi="Arial" w:cs="Arial"/>
                <w:sz w:val="24"/>
                <w:szCs w:val="24"/>
                <w:highlight w:val="yellow"/>
              </w:rPr>
              <w:t>Complaints Handling</w:t>
            </w:r>
          </w:p>
          <w:p w14:paraId="2CA9A55C" w14:textId="77777777" w:rsidR="008567FD" w:rsidRDefault="008567FD">
            <w:pPr>
              <w:spacing w:after="120"/>
              <w:ind w:left="61"/>
              <w:rPr>
                <w:rFonts w:ascii="Arial" w:eastAsia="Arial" w:hAnsi="Arial" w:cs="Arial"/>
                <w:sz w:val="24"/>
                <w:szCs w:val="24"/>
                <w:highlight w:val="yellow"/>
              </w:rPr>
            </w:pPr>
          </w:p>
          <w:p w14:paraId="03399218" w14:textId="77777777" w:rsidR="008567FD" w:rsidRDefault="008567FD">
            <w:pPr>
              <w:spacing w:after="120"/>
              <w:ind w:left="61"/>
              <w:rPr>
                <w:rFonts w:ascii="Arial" w:eastAsia="Arial" w:hAnsi="Arial" w:cs="Arial"/>
                <w:sz w:val="24"/>
                <w:szCs w:val="24"/>
              </w:rPr>
            </w:pPr>
          </w:p>
        </w:tc>
        <w:tc>
          <w:tcPr>
            <w:tcW w:w="1890" w:type="dxa"/>
          </w:tcPr>
          <w:p w14:paraId="52A643C3" w14:textId="77777777" w:rsidR="008567FD" w:rsidRDefault="0013396B">
            <w:pPr>
              <w:spacing w:after="120"/>
              <w:ind w:left="95"/>
              <w:rPr>
                <w:rFonts w:ascii="Arial" w:eastAsia="Arial" w:hAnsi="Arial" w:cs="Arial"/>
                <w:sz w:val="24"/>
                <w:szCs w:val="24"/>
                <w:highlight w:val="yellow"/>
              </w:rPr>
            </w:pPr>
            <w:r>
              <w:rPr>
                <w:rFonts w:ascii="Arial" w:eastAsia="Arial" w:hAnsi="Arial" w:cs="Arial"/>
                <w:sz w:val="24"/>
                <w:szCs w:val="24"/>
                <w:highlight w:val="yellow"/>
              </w:rPr>
              <w:t>Availability/Timelines</w:t>
            </w:r>
          </w:p>
          <w:p w14:paraId="4F826DA7" w14:textId="77777777" w:rsidR="008567FD" w:rsidRDefault="008567FD">
            <w:pPr>
              <w:spacing w:after="120"/>
              <w:ind w:left="95"/>
              <w:rPr>
                <w:rFonts w:ascii="Arial" w:eastAsia="Arial" w:hAnsi="Arial" w:cs="Arial"/>
                <w:sz w:val="24"/>
                <w:szCs w:val="24"/>
              </w:rPr>
            </w:pPr>
          </w:p>
        </w:tc>
        <w:tc>
          <w:tcPr>
            <w:tcW w:w="1260" w:type="dxa"/>
          </w:tcPr>
          <w:p w14:paraId="59B57A08" w14:textId="77777777" w:rsidR="008567FD" w:rsidRDefault="0013396B">
            <w:pPr>
              <w:spacing w:after="120"/>
              <w:rPr>
                <w:rFonts w:ascii="Arial" w:eastAsia="Arial" w:hAnsi="Arial" w:cs="Arial"/>
                <w:sz w:val="24"/>
                <w:szCs w:val="24"/>
                <w:highlight w:val="yellow"/>
              </w:rPr>
            </w:pPr>
            <w:r>
              <w:rPr>
                <w:rFonts w:ascii="Arial" w:eastAsia="Arial" w:hAnsi="Arial" w:cs="Arial"/>
                <w:sz w:val="24"/>
                <w:szCs w:val="24"/>
                <w:highlight w:val="yellow"/>
              </w:rPr>
              <w:t>At least 98% at all times</w:t>
            </w:r>
          </w:p>
          <w:p w14:paraId="221760FF" w14:textId="77777777" w:rsidR="008567FD" w:rsidRDefault="008567FD">
            <w:pPr>
              <w:spacing w:after="120"/>
              <w:rPr>
                <w:rFonts w:ascii="Arial" w:eastAsia="Arial" w:hAnsi="Arial" w:cs="Arial"/>
                <w:sz w:val="24"/>
                <w:szCs w:val="24"/>
              </w:rPr>
            </w:pPr>
          </w:p>
        </w:tc>
        <w:tc>
          <w:tcPr>
            <w:tcW w:w="1515" w:type="dxa"/>
          </w:tcPr>
          <w:p w14:paraId="75F0D32D" w14:textId="77777777" w:rsidR="008567FD" w:rsidRDefault="0013396B">
            <w:pPr>
              <w:spacing w:after="120"/>
              <w:ind w:left="95"/>
              <w:rPr>
                <w:rFonts w:ascii="Arial" w:eastAsia="Arial" w:hAnsi="Arial" w:cs="Arial"/>
                <w:sz w:val="24"/>
                <w:szCs w:val="24"/>
              </w:rPr>
            </w:pPr>
            <w:r>
              <w:rPr>
                <w:rFonts w:ascii="Arial" w:eastAsia="Arial" w:hAnsi="Arial" w:cs="Arial"/>
                <w:sz w:val="24"/>
                <w:szCs w:val="24"/>
                <w:highlight w:val="yellow"/>
              </w:rPr>
              <w:t>[   ]</w:t>
            </w:r>
          </w:p>
        </w:tc>
        <w:tc>
          <w:tcPr>
            <w:tcW w:w="2115" w:type="dxa"/>
          </w:tcPr>
          <w:p w14:paraId="32E25C8F" w14:textId="77777777" w:rsidR="008567FD" w:rsidRDefault="0013396B">
            <w:pPr>
              <w:spacing w:after="120"/>
              <w:ind w:left="95"/>
              <w:rPr>
                <w:rFonts w:ascii="Arial" w:eastAsia="Arial" w:hAnsi="Arial" w:cs="Arial"/>
                <w:sz w:val="24"/>
                <w:szCs w:val="24"/>
              </w:rPr>
            </w:pPr>
            <w:r>
              <w:rPr>
                <w:rFonts w:ascii="Arial" w:eastAsia="Arial" w:hAnsi="Arial" w:cs="Arial"/>
                <w:sz w:val="24"/>
                <w:szCs w:val="24"/>
                <w:highlight w:val="yellow"/>
              </w:rPr>
              <w:t>0.5% Service Credit gained for ea</w:t>
            </w:r>
            <w:r>
              <w:rPr>
                <w:rFonts w:ascii="Arial" w:eastAsia="Arial" w:hAnsi="Arial" w:cs="Arial"/>
                <w:sz w:val="24"/>
                <w:szCs w:val="24"/>
                <w:highlight w:val="yellow"/>
              </w:rPr>
              <w:t>ch percentage under the specified Service Level Performance Measure</w:t>
            </w:r>
          </w:p>
        </w:tc>
        <w:tc>
          <w:tcPr>
            <w:tcW w:w="1845" w:type="dxa"/>
          </w:tcPr>
          <w:p w14:paraId="3105B37D" w14:textId="77777777" w:rsidR="008567FD" w:rsidRDefault="0013396B">
            <w:pPr>
              <w:spacing w:after="120"/>
              <w:ind w:left="95"/>
              <w:rPr>
                <w:rFonts w:ascii="Arial" w:eastAsia="Arial" w:hAnsi="Arial" w:cs="Arial"/>
              </w:rPr>
            </w:pPr>
            <w:r>
              <w:rPr>
                <w:rFonts w:ascii="Arial" w:eastAsia="Arial" w:hAnsi="Arial" w:cs="Arial"/>
              </w:rPr>
              <w:t>[Yes/No]</w:t>
            </w:r>
          </w:p>
        </w:tc>
      </w:tr>
      <w:tr w:rsidR="008567FD" w14:paraId="53ECA161" w14:textId="77777777">
        <w:trPr>
          <w:trHeight w:val="1474"/>
          <w:jc w:val="center"/>
        </w:trPr>
        <w:tc>
          <w:tcPr>
            <w:tcW w:w="1710" w:type="dxa"/>
          </w:tcPr>
          <w:p w14:paraId="65A730E9" w14:textId="77777777" w:rsidR="008567FD" w:rsidRDefault="0013396B">
            <w:pPr>
              <w:spacing w:after="120"/>
              <w:ind w:left="61"/>
              <w:rPr>
                <w:rFonts w:ascii="Arial" w:eastAsia="Arial" w:hAnsi="Arial" w:cs="Arial"/>
                <w:sz w:val="24"/>
                <w:szCs w:val="24"/>
                <w:highlight w:val="yellow"/>
              </w:rPr>
            </w:pPr>
            <w:r>
              <w:rPr>
                <w:rFonts w:ascii="Arial" w:eastAsia="Arial" w:hAnsi="Arial" w:cs="Arial"/>
                <w:sz w:val="24"/>
                <w:szCs w:val="24"/>
                <w:highlight w:val="yellow"/>
              </w:rPr>
              <w:lastRenderedPageBreak/>
              <w:t>provision of specific Goods and/or Services</w:t>
            </w:r>
          </w:p>
          <w:p w14:paraId="5A0C4DBC" w14:textId="77777777" w:rsidR="008567FD" w:rsidRDefault="008567FD">
            <w:pPr>
              <w:spacing w:after="120"/>
              <w:ind w:left="61"/>
              <w:rPr>
                <w:rFonts w:ascii="Arial" w:eastAsia="Arial" w:hAnsi="Arial" w:cs="Arial"/>
                <w:sz w:val="24"/>
                <w:szCs w:val="24"/>
              </w:rPr>
            </w:pPr>
          </w:p>
        </w:tc>
        <w:tc>
          <w:tcPr>
            <w:tcW w:w="1890" w:type="dxa"/>
          </w:tcPr>
          <w:p w14:paraId="250EFF23" w14:textId="77777777" w:rsidR="008567FD" w:rsidRDefault="0013396B">
            <w:pPr>
              <w:spacing w:after="120"/>
              <w:ind w:left="95"/>
              <w:rPr>
                <w:rFonts w:ascii="Arial" w:eastAsia="Arial" w:hAnsi="Arial" w:cs="Arial"/>
                <w:sz w:val="24"/>
                <w:szCs w:val="24"/>
                <w:highlight w:val="yellow"/>
              </w:rPr>
            </w:pPr>
            <w:r>
              <w:rPr>
                <w:rFonts w:ascii="Arial" w:eastAsia="Arial" w:hAnsi="Arial" w:cs="Arial"/>
                <w:sz w:val="24"/>
                <w:szCs w:val="24"/>
                <w:highlight w:val="yellow"/>
              </w:rPr>
              <w:t>Quality</w:t>
            </w:r>
          </w:p>
          <w:p w14:paraId="4B5EB363" w14:textId="77777777" w:rsidR="008567FD" w:rsidRDefault="008567FD">
            <w:pPr>
              <w:spacing w:after="120"/>
              <w:ind w:left="95"/>
              <w:rPr>
                <w:rFonts w:ascii="Arial" w:eastAsia="Arial" w:hAnsi="Arial" w:cs="Arial"/>
                <w:sz w:val="24"/>
                <w:szCs w:val="24"/>
                <w:highlight w:val="yellow"/>
              </w:rPr>
            </w:pPr>
          </w:p>
          <w:p w14:paraId="0B14B65C" w14:textId="77777777" w:rsidR="008567FD" w:rsidRDefault="008567FD">
            <w:pPr>
              <w:spacing w:after="120"/>
              <w:ind w:left="95"/>
              <w:rPr>
                <w:rFonts w:ascii="Arial" w:eastAsia="Arial" w:hAnsi="Arial" w:cs="Arial"/>
                <w:sz w:val="24"/>
                <w:szCs w:val="24"/>
              </w:rPr>
            </w:pPr>
          </w:p>
        </w:tc>
        <w:tc>
          <w:tcPr>
            <w:tcW w:w="1260" w:type="dxa"/>
          </w:tcPr>
          <w:p w14:paraId="34A48F49" w14:textId="77777777" w:rsidR="008567FD" w:rsidRDefault="0013396B">
            <w:pPr>
              <w:spacing w:after="120"/>
              <w:rPr>
                <w:rFonts w:ascii="Arial" w:eastAsia="Arial" w:hAnsi="Arial" w:cs="Arial"/>
                <w:sz w:val="24"/>
                <w:szCs w:val="24"/>
                <w:highlight w:val="yellow"/>
              </w:rPr>
            </w:pPr>
            <w:r>
              <w:rPr>
                <w:rFonts w:ascii="Arial" w:eastAsia="Arial" w:hAnsi="Arial" w:cs="Arial"/>
                <w:sz w:val="24"/>
                <w:szCs w:val="24"/>
                <w:highlight w:val="yellow"/>
              </w:rPr>
              <w:t>at least 98% at all times</w:t>
            </w:r>
          </w:p>
          <w:p w14:paraId="2819AF46" w14:textId="77777777" w:rsidR="008567FD" w:rsidRDefault="008567FD">
            <w:pPr>
              <w:spacing w:after="120"/>
              <w:rPr>
                <w:rFonts w:ascii="Arial" w:eastAsia="Arial" w:hAnsi="Arial" w:cs="Arial"/>
                <w:sz w:val="24"/>
                <w:szCs w:val="24"/>
              </w:rPr>
            </w:pPr>
          </w:p>
        </w:tc>
        <w:tc>
          <w:tcPr>
            <w:tcW w:w="1515" w:type="dxa"/>
          </w:tcPr>
          <w:p w14:paraId="7C65DC67" w14:textId="77777777" w:rsidR="008567FD" w:rsidRDefault="0013396B">
            <w:pPr>
              <w:spacing w:after="120"/>
              <w:ind w:left="95"/>
              <w:rPr>
                <w:rFonts w:ascii="Arial" w:eastAsia="Arial" w:hAnsi="Arial" w:cs="Arial"/>
                <w:sz w:val="24"/>
                <w:szCs w:val="24"/>
              </w:rPr>
            </w:pPr>
            <w:r>
              <w:rPr>
                <w:rFonts w:ascii="Arial" w:eastAsia="Arial" w:hAnsi="Arial" w:cs="Arial"/>
                <w:sz w:val="24"/>
                <w:szCs w:val="24"/>
                <w:highlight w:val="yellow"/>
              </w:rPr>
              <w:t>[   ]</w:t>
            </w:r>
          </w:p>
        </w:tc>
        <w:tc>
          <w:tcPr>
            <w:tcW w:w="2115" w:type="dxa"/>
          </w:tcPr>
          <w:p w14:paraId="6AC562A9" w14:textId="77777777" w:rsidR="008567FD" w:rsidRDefault="0013396B">
            <w:pPr>
              <w:spacing w:after="120"/>
              <w:ind w:left="95"/>
              <w:rPr>
                <w:rFonts w:ascii="Arial" w:eastAsia="Arial" w:hAnsi="Arial" w:cs="Arial"/>
                <w:sz w:val="24"/>
                <w:szCs w:val="24"/>
              </w:rPr>
            </w:pPr>
            <w:r>
              <w:rPr>
                <w:rFonts w:ascii="Arial" w:eastAsia="Arial" w:hAnsi="Arial" w:cs="Arial"/>
                <w:sz w:val="24"/>
                <w:szCs w:val="24"/>
                <w:highlight w:val="yellow"/>
              </w:rPr>
              <w:t>2% Service Credit gained for each percentage under the specified Service Level Performance Measure</w:t>
            </w:r>
          </w:p>
        </w:tc>
        <w:tc>
          <w:tcPr>
            <w:tcW w:w="1845" w:type="dxa"/>
          </w:tcPr>
          <w:p w14:paraId="3166E85A" w14:textId="77777777" w:rsidR="008567FD" w:rsidRDefault="0013396B">
            <w:pPr>
              <w:spacing w:after="120"/>
              <w:ind w:left="95"/>
              <w:rPr>
                <w:rFonts w:ascii="Arial" w:eastAsia="Arial" w:hAnsi="Arial" w:cs="Arial"/>
              </w:rPr>
            </w:pPr>
            <w:r>
              <w:rPr>
                <w:rFonts w:ascii="Arial" w:eastAsia="Arial" w:hAnsi="Arial" w:cs="Arial"/>
              </w:rPr>
              <w:t>[Yes/No]</w:t>
            </w:r>
          </w:p>
        </w:tc>
      </w:tr>
      <w:tr w:rsidR="008567FD" w14:paraId="31122F61" w14:textId="77777777">
        <w:trPr>
          <w:trHeight w:val="1474"/>
          <w:jc w:val="center"/>
        </w:trPr>
        <w:tc>
          <w:tcPr>
            <w:tcW w:w="1710" w:type="dxa"/>
          </w:tcPr>
          <w:p w14:paraId="37F7FA87" w14:textId="77777777" w:rsidR="008567FD" w:rsidRDefault="0013396B">
            <w:pPr>
              <w:spacing w:after="120"/>
              <w:ind w:left="61"/>
              <w:rPr>
                <w:rFonts w:ascii="Arial" w:eastAsia="Arial" w:hAnsi="Arial" w:cs="Arial"/>
                <w:sz w:val="24"/>
                <w:szCs w:val="24"/>
                <w:highlight w:val="yellow"/>
              </w:rPr>
            </w:pPr>
            <w:r>
              <w:rPr>
                <w:rFonts w:ascii="Arial" w:eastAsia="Arial" w:hAnsi="Arial" w:cs="Arial"/>
                <w:sz w:val="24"/>
                <w:szCs w:val="24"/>
                <w:highlight w:val="yellow"/>
              </w:rPr>
              <w:t xml:space="preserve">Timely </w:t>
            </w:r>
            <w:proofErr w:type="gramStart"/>
            <w:r>
              <w:rPr>
                <w:rFonts w:ascii="Arial" w:eastAsia="Arial" w:hAnsi="Arial" w:cs="Arial"/>
                <w:sz w:val="24"/>
                <w:szCs w:val="24"/>
                <w:highlight w:val="yellow"/>
              </w:rPr>
              <w:t>provision  of</w:t>
            </w:r>
            <w:proofErr w:type="gramEnd"/>
            <w:r>
              <w:rPr>
                <w:rFonts w:ascii="Arial" w:eastAsia="Arial" w:hAnsi="Arial" w:cs="Arial"/>
                <w:sz w:val="24"/>
                <w:szCs w:val="24"/>
                <w:highlight w:val="yellow"/>
              </w:rPr>
              <w:t xml:space="preserve"> the Goods and/or Services [** hours a day, ** days a week.]</w:t>
            </w:r>
          </w:p>
        </w:tc>
        <w:tc>
          <w:tcPr>
            <w:tcW w:w="1890" w:type="dxa"/>
          </w:tcPr>
          <w:p w14:paraId="3F52E349" w14:textId="77777777" w:rsidR="008567FD" w:rsidRDefault="0013396B">
            <w:pPr>
              <w:spacing w:after="120"/>
              <w:ind w:left="95"/>
              <w:rPr>
                <w:rFonts w:ascii="Arial" w:eastAsia="Arial" w:hAnsi="Arial" w:cs="Arial"/>
                <w:sz w:val="24"/>
                <w:szCs w:val="24"/>
                <w:highlight w:val="yellow"/>
              </w:rPr>
            </w:pPr>
            <w:r>
              <w:rPr>
                <w:rFonts w:ascii="Arial" w:eastAsia="Arial" w:hAnsi="Arial" w:cs="Arial"/>
                <w:sz w:val="24"/>
                <w:szCs w:val="24"/>
                <w:highlight w:val="yellow"/>
              </w:rPr>
              <w:t>Goods and/or Services Availability</w:t>
            </w:r>
          </w:p>
          <w:p w14:paraId="69E643FB" w14:textId="77777777" w:rsidR="008567FD" w:rsidRDefault="008567FD">
            <w:pPr>
              <w:spacing w:after="120"/>
              <w:ind w:left="95"/>
              <w:rPr>
                <w:rFonts w:ascii="Arial" w:eastAsia="Arial" w:hAnsi="Arial" w:cs="Arial"/>
                <w:sz w:val="24"/>
                <w:szCs w:val="24"/>
                <w:highlight w:val="yellow"/>
              </w:rPr>
            </w:pPr>
          </w:p>
        </w:tc>
        <w:tc>
          <w:tcPr>
            <w:tcW w:w="1260" w:type="dxa"/>
          </w:tcPr>
          <w:p w14:paraId="41CAD391" w14:textId="77777777" w:rsidR="008567FD" w:rsidRDefault="0013396B">
            <w:pPr>
              <w:spacing w:after="120"/>
              <w:rPr>
                <w:rFonts w:ascii="Arial" w:eastAsia="Arial" w:hAnsi="Arial" w:cs="Arial"/>
                <w:sz w:val="24"/>
                <w:szCs w:val="24"/>
                <w:highlight w:val="yellow"/>
              </w:rPr>
            </w:pPr>
            <w:r>
              <w:rPr>
                <w:rFonts w:ascii="Arial" w:eastAsia="Arial" w:hAnsi="Arial" w:cs="Arial"/>
                <w:sz w:val="24"/>
                <w:szCs w:val="24"/>
                <w:highlight w:val="yellow"/>
              </w:rPr>
              <w:t>at least 98% at all times</w:t>
            </w:r>
          </w:p>
          <w:p w14:paraId="1D234449" w14:textId="77777777" w:rsidR="008567FD" w:rsidRDefault="008567FD">
            <w:pPr>
              <w:spacing w:after="120"/>
              <w:rPr>
                <w:rFonts w:ascii="Arial" w:eastAsia="Arial" w:hAnsi="Arial" w:cs="Arial"/>
                <w:sz w:val="24"/>
                <w:szCs w:val="24"/>
                <w:highlight w:val="yellow"/>
              </w:rPr>
            </w:pPr>
          </w:p>
        </w:tc>
        <w:tc>
          <w:tcPr>
            <w:tcW w:w="1515" w:type="dxa"/>
          </w:tcPr>
          <w:p w14:paraId="6CFF597E" w14:textId="77777777" w:rsidR="008567FD" w:rsidRDefault="0013396B">
            <w:pPr>
              <w:spacing w:after="120"/>
              <w:ind w:left="95"/>
              <w:rPr>
                <w:rFonts w:ascii="Arial" w:eastAsia="Arial" w:hAnsi="Arial" w:cs="Arial"/>
                <w:sz w:val="24"/>
                <w:szCs w:val="24"/>
                <w:highlight w:val="yellow"/>
              </w:rPr>
            </w:pPr>
            <w:r>
              <w:rPr>
                <w:rFonts w:ascii="Arial" w:eastAsia="Arial" w:hAnsi="Arial" w:cs="Arial"/>
                <w:sz w:val="24"/>
                <w:szCs w:val="24"/>
                <w:highlight w:val="yellow"/>
              </w:rPr>
              <w:t>[   ]</w:t>
            </w:r>
          </w:p>
        </w:tc>
        <w:tc>
          <w:tcPr>
            <w:tcW w:w="2115" w:type="dxa"/>
          </w:tcPr>
          <w:p w14:paraId="1B1920BA" w14:textId="77777777" w:rsidR="008567FD" w:rsidRDefault="0013396B">
            <w:pPr>
              <w:spacing w:after="120"/>
              <w:ind w:left="95"/>
              <w:rPr>
                <w:rFonts w:ascii="Arial" w:eastAsia="Arial" w:hAnsi="Arial" w:cs="Arial"/>
                <w:sz w:val="24"/>
                <w:szCs w:val="24"/>
                <w:highlight w:val="yellow"/>
              </w:rPr>
            </w:pPr>
            <w:r>
              <w:rPr>
                <w:rFonts w:ascii="Arial" w:eastAsia="Arial" w:hAnsi="Arial" w:cs="Arial"/>
                <w:sz w:val="24"/>
                <w:szCs w:val="24"/>
                <w:highlight w:val="yellow"/>
              </w:rPr>
              <w:t>2% Service Credit gained for each percentage under the specified Service Level Performance Measure</w:t>
            </w:r>
            <w:r>
              <w:rPr>
                <w:rFonts w:ascii="Arial" w:eastAsia="Arial" w:hAnsi="Arial" w:cs="Arial"/>
                <w:b/>
                <w:sz w:val="24"/>
                <w:szCs w:val="24"/>
                <w:highlight w:val="yellow"/>
              </w:rPr>
              <w:t>]</w:t>
            </w:r>
          </w:p>
        </w:tc>
        <w:tc>
          <w:tcPr>
            <w:tcW w:w="1845" w:type="dxa"/>
          </w:tcPr>
          <w:p w14:paraId="2E092D0E" w14:textId="77777777" w:rsidR="008567FD" w:rsidRDefault="0013396B">
            <w:pPr>
              <w:spacing w:after="120"/>
              <w:ind w:left="95"/>
              <w:rPr>
                <w:rFonts w:ascii="Arial" w:eastAsia="Arial" w:hAnsi="Arial" w:cs="Arial"/>
              </w:rPr>
            </w:pPr>
            <w:r>
              <w:rPr>
                <w:rFonts w:ascii="Arial" w:eastAsia="Arial" w:hAnsi="Arial" w:cs="Arial"/>
              </w:rPr>
              <w:t>[Yes/No]</w:t>
            </w:r>
          </w:p>
        </w:tc>
      </w:tr>
      <w:tr w:rsidR="008567FD" w14:paraId="3B0A2F25" w14:textId="77777777">
        <w:trPr>
          <w:trHeight w:val="1474"/>
          <w:jc w:val="center"/>
        </w:trPr>
        <w:tc>
          <w:tcPr>
            <w:tcW w:w="171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1B0660B" w14:textId="77777777" w:rsidR="008567FD" w:rsidRDefault="0013396B">
            <w:pPr>
              <w:spacing w:after="120"/>
              <w:ind w:left="61"/>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Social Value I 3]</w:t>
            </w:r>
          </w:p>
        </w:tc>
        <w:tc>
          <w:tcPr>
            <w:tcW w:w="189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7478A9E" w14:textId="77777777" w:rsidR="008567FD" w:rsidRDefault="0013396B">
            <w:pPr>
              <w:spacing w:after="120"/>
              <w:ind w:left="95"/>
              <w:rPr>
                <w:rFonts w:ascii="Arial" w:eastAsia="Arial" w:hAnsi="Arial" w:cs="Arial"/>
                <w:sz w:val="24"/>
                <w:szCs w:val="24"/>
                <w:highlight w:val="yellow"/>
              </w:rPr>
            </w:pPr>
            <w:r>
              <w:rPr>
                <w:rFonts w:ascii="Arial" w:eastAsia="Arial" w:hAnsi="Arial" w:cs="Arial"/>
                <w:sz w:val="24"/>
                <w:szCs w:val="24"/>
                <w:highlight w:val="yellow"/>
              </w:rPr>
              <w:t>[  ]</w:t>
            </w:r>
          </w:p>
        </w:tc>
        <w:tc>
          <w:tcPr>
            <w:tcW w:w="126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E9D81F9" w14:textId="77777777" w:rsidR="008567FD" w:rsidRDefault="0013396B">
            <w:pPr>
              <w:spacing w:after="120"/>
              <w:rPr>
                <w:rFonts w:ascii="Arial" w:eastAsia="Arial" w:hAnsi="Arial" w:cs="Arial"/>
                <w:sz w:val="24"/>
                <w:szCs w:val="24"/>
                <w:highlight w:val="yellow"/>
              </w:rPr>
            </w:pPr>
            <w:r>
              <w:rPr>
                <w:rFonts w:ascii="Arial" w:eastAsia="Arial" w:hAnsi="Arial" w:cs="Arial"/>
                <w:sz w:val="24"/>
                <w:szCs w:val="24"/>
                <w:highlight w:val="yellow"/>
              </w:rPr>
              <w:t>[  ]</w:t>
            </w:r>
          </w:p>
        </w:tc>
        <w:tc>
          <w:tcPr>
            <w:tcW w:w="151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B901E99" w14:textId="77777777" w:rsidR="008567FD" w:rsidRDefault="0013396B">
            <w:pPr>
              <w:spacing w:after="120"/>
              <w:ind w:left="95"/>
              <w:rPr>
                <w:rFonts w:ascii="Arial" w:eastAsia="Arial" w:hAnsi="Arial" w:cs="Arial"/>
                <w:sz w:val="24"/>
                <w:szCs w:val="24"/>
                <w:highlight w:val="yellow"/>
              </w:rPr>
            </w:pPr>
            <w:r>
              <w:rPr>
                <w:rFonts w:ascii="Arial" w:eastAsia="Arial" w:hAnsi="Arial" w:cs="Arial"/>
                <w:sz w:val="24"/>
                <w:szCs w:val="24"/>
                <w:highlight w:val="yellow"/>
              </w:rPr>
              <w:t>[  ]</w:t>
            </w:r>
          </w:p>
        </w:tc>
        <w:tc>
          <w:tcPr>
            <w:tcW w:w="211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2F2B810" w14:textId="77777777" w:rsidR="008567FD" w:rsidRDefault="0013396B">
            <w:pPr>
              <w:spacing w:after="120"/>
              <w:ind w:left="95"/>
              <w:rPr>
                <w:rFonts w:ascii="Arial" w:eastAsia="Arial" w:hAnsi="Arial" w:cs="Arial"/>
                <w:sz w:val="24"/>
                <w:szCs w:val="24"/>
                <w:highlight w:val="yellow"/>
              </w:rPr>
            </w:pPr>
            <w:r>
              <w:rPr>
                <w:rFonts w:ascii="Arial" w:eastAsia="Arial" w:hAnsi="Arial" w:cs="Arial"/>
                <w:sz w:val="24"/>
                <w:szCs w:val="24"/>
                <w:highlight w:val="yellow"/>
              </w:rPr>
              <w:t>[  ]</w:t>
            </w:r>
          </w:p>
        </w:tc>
        <w:tc>
          <w:tcPr>
            <w:tcW w:w="184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48C078A" w14:textId="77777777" w:rsidR="008567FD" w:rsidRDefault="0013396B">
            <w:pPr>
              <w:spacing w:after="120"/>
              <w:ind w:left="95"/>
              <w:rPr>
                <w:rFonts w:ascii="Arial" w:eastAsia="Arial" w:hAnsi="Arial" w:cs="Arial"/>
              </w:rPr>
            </w:pPr>
            <w:r>
              <w:rPr>
                <w:rFonts w:ascii="Arial" w:eastAsia="Arial" w:hAnsi="Arial" w:cs="Arial"/>
              </w:rPr>
              <w:t>[Yes/No]</w:t>
            </w:r>
          </w:p>
        </w:tc>
      </w:tr>
    </w:tbl>
    <w:p w14:paraId="10BF7B95" w14:textId="77777777" w:rsidR="008567FD" w:rsidRDefault="008567FD">
      <w:pPr>
        <w:ind w:left="709"/>
        <w:rPr>
          <w:rFonts w:ascii="Arial" w:eastAsia="Arial" w:hAnsi="Arial" w:cs="Arial"/>
          <w:sz w:val="24"/>
          <w:szCs w:val="24"/>
          <w:highlight w:val="green"/>
        </w:rPr>
      </w:pPr>
    </w:p>
    <w:p w14:paraId="1CF4AE24" w14:textId="77777777" w:rsidR="008567FD" w:rsidRDefault="0013396B">
      <w:pPr>
        <w:ind w:left="709"/>
        <w:rPr>
          <w:rFonts w:ascii="Arial" w:eastAsia="Arial" w:hAnsi="Arial" w:cs="Arial"/>
          <w:sz w:val="24"/>
          <w:szCs w:val="24"/>
        </w:rPr>
      </w:pPr>
      <w:r>
        <w:rPr>
          <w:rFonts w:ascii="Arial" w:eastAsia="Arial" w:hAnsi="Arial" w:cs="Arial"/>
          <w:sz w:val="24"/>
          <w:szCs w:val="24"/>
        </w:rPr>
        <w:t>The Service Credits shall be calculated on the basis of the following formula:</w:t>
      </w:r>
    </w:p>
    <w:p w14:paraId="71C95897" w14:textId="77777777" w:rsidR="008567FD" w:rsidRDefault="0013396B">
      <w:pPr>
        <w:ind w:left="709"/>
        <w:rPr>
          <w:rFonts w:ascii="Arial" w:eastAsia="Arial" w:hAnsi="Arial" w:cs="Arial"/>
          <w:sz w:val="24"/>
          <w:szCs w:val="24"/>
          <w:highlight w:val="yellow"/>
        </w:rPr>
      </w:pPr>
      <w:r>
        <w:rPr>
          <w:rFonts w:ascii="Arial" w:eastAsia="Arial" w:hAnsi="Arial" w:cs="Arial"/>
          <w:sz w:val="24"/>
          <w:szCs w:val="24"/>
          <w:highlight w:val="yellow"/>
        </w:rPr>
        <w:t>[Example:</w:t>
      </w:r>
    </w:p>
    <w:tbl>
      <w:tblPr>
        <w:tblStyle w:val="af6"/>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75"/>
        <w:gridCol w:w="685"/>
        <w:gridCol w:w="3966"/>
      </w:tblGrid>
      <w:tr w:rsidR="008567FD" w14:paraId="65394E12" w14:textId="77777777">
        <w:tc>
          <w:tcPr>
            <w:tcW w:w="4375" w:type="dxa"/>
          </w:tcPr>
          <w:p w14:paraId="54589DED" w14:textId="77777777" w:rsidR="008567FD" w:rsidRDefault="0013396B">
            <w:pPr>
              <w:ind w:left="567"/>
              <w:rPr>
                <w:rFonts w:ascii="Arial" w:eastAsia="Arial" w:hAnsi="Arial" w:cs="Arial"/>
                <w:sz w:val="24"/>
                <w:szCs w:val="24"/>
              </w:rPr>
            </w:pPr>
            <w:r>
              <w:rPr>
                <w:rFonts w:ascii="Arial" w:eastAsia="Arial" w:hAnsi="Arial" w:cs="Arial"/>
                <w:sz w:val="24"/>
                <w:szCs w:val="24"/>
              </w:rPr>
              <w:t xml:space="preserve">Formula: x% (Service Level Performance Measure) - y% (actual Service Level performance)  </w:t>
            </w:r>
          </w:p>
        </w:tc>
        <w:tc>
          <w:tcPr>
            <w:tcW w:w="685" w:type="dxa"/>
          </w:tcPr>
          <w:p w14:paraId="66AF7DB6" w14:textId="77777777" w:rsidR="008567FD" w:rsidRDefault="0013396B">
            <w:pPr>
              <w:ind w:left="211"/>
              <w:rPr>
                <w:rFonts w:ascii="Arial" w:eastAsia="Arial" w:hAnsi="Arial" w:cs="Arial"/>
                <w:sz w:val="24"/>
                <w:szCs w:val="24"/>
              </w:rPr>
            </w:pPr>
            <w:r>
              <w:rPr>
                <w:rFonts w:ascii="Arial" w:eastAsia="Arial" w:hAnsi="Arial" w:cs="Arial"/>
                <w:sz w:val="24"/>
                <w:szCs w:val="24"/>
              </w:rPr>
              <w:t>=</w:t>
            </w:r>
          </w:p>
        </w:tc>
        <w:tc>
          <w:tcPr>
            <w:tcW w:w="3966" w:type="dxa"/>
          </w:tcPr>
          <w:p w14:paraId="7576AF8B" w14:textId="77777777" w:rsidR="008567FD" w:rsidRDefault="0013396B">
            <w:pPr>
              <w:ind w:left="145"/>
              <w:rPr>
                <w:rFonts w:ascii="Arial" w:eastAsia="Arial" w:hAnsi="Arial" w:cs="Arial"/>
                <w:sz w:val="24"/>
                <w:szCs w:val="24"/>
              </w:rPr>
            </w:pPr>
            <w:r>
              <w:rPr>
                <w:rFonts w:ascii="Arial" w:eastAsia="Arial" w:hAnsi="Arial" w:cs="Arial"/>
                <w:sz w:val="24"/>
                <w:szCs w:val="24"/>
              </w:rPr>
              <w:t xml:space="preserve">% </w:t>
            </w:r>
            <w:proofErr w:type="gramStart"/>
            <w:r>
              <w:rPr>
                <w:rFonts w:ascii="Arial" w:eastAsia="Arial" w:hAnsi="Arial" w:cs="Arial"/>
                <w:sz w:val="24"/>
                <w:szCs w:val="24"/>
              </w:rPr>
              <w:t>of</w:t>
            </w:r>
            <w:proofErr w:type="gramEnd"/>
            <w:r>
              <w:rPr>
                <w:rFonts w:ascii="Arial" w:eastAsia="Arial" w:hAnsi="Arial" w:cs="Arial"/>
                <w:sz w:val="24"/>
                <w:szCs w:val="24"/>
              </w:rPr>
              <w:t xml:space="preserve"> the Charges payable to the Buyer as Service Credits to be deducted from the next Invoice payable by the Buyer</w:t>
            </w:r>
          </w:p>
        </w:tc>
      </w:tr>
      <w:tr w:rsidR="008567FD" w14:paraId="115C26D0" w14:textId="77777777">
        <w:tc>
          <w:tcPr>
            <w:tcW w:w="4375" w:type="dxa"/>
          </w:tcPr>
          <w:p w14:paraId="6274FC00" w14:textId="77777777" w:rsidR="008567FD" w:rsidRDefault="0013396B">
            <w:pPr>
              <w:ind w:left="567"/>
              <w:rPr>
                <w:rFonts w:ascii="Arial" w:eastAsia="Arial" w:hAnsi="Arial" w:cs="Arial"/>
                <w:sz w:val="24"/>
                <w:szCs w:val="24"/>
              </w:rPr>
            </w:pPr>
            <w:r>
              <w:rPr>
                <w:rFonts w:ascii="Arial" w:eastAsia="Arial" w:hAnsi="Arial" w:cs="Arial"/>
                <w:sz w:val="24"/>
                <w:szCs w:val="24"/>
              </w:rPr>
              <w:t>Worked example: 98% (</w:t>
            </w:r>
            <w:proofErr w:type="gramStart"/>
            <w:r>
              <w:rPr>
                <w:rFonts w:ascii="Arial" w:eastAsia="Arial" w:hAnsi="Arial" w:cs="Arial"/>
                <w:sz w:val="24"/>
                <w:szCs w:val="24"/>
              </w:rPr>
              <w:t>e.g.</w:t>
            </w:r>
            <w:proofErr w:type="gramEnd"/>
            <w:r>
              <w:rPr>
                <w:rFonts w:ascii="Arial" w:eastAsia="Arial" w:hAnsi="Arial" w:cs="Arial"/>
                <w:sz w:val="24"/>
                <w:szCs w:val="24"/>
              </w:rPr>
              <w:t xml:space="preserve"> Service Level Performance Measure requirement for accurate and timely billing Service Level) - 75% (e.g. actual performance achieved against this Service Level in a Service Period) </w:t>
            </w:r>
          </w:p>
          <w:p w14:paraId="3CF488AE" w14:textId="77777777" w:rsidR="008567FD" w:rsidRDefault="008567FD">
            <w:pPr>
              <w:ind w:left="567"/>
              <w:rPr>
                <w:rFonts w:ascii="Arial" w:eastAsia="Arial" w:hAnsi="Arial" w:cs="Arial"/>
                <w:sz w:val="24"/>
                <w:szCs w:val="24"/>
              </w:rPr>
            </w:pPr>
          </w:p>
        </w:tc>
        <w:tc>
          <w:tcPr>
            <w:tcW w:w="685" w:type="dxa"/>
          </w:tcPr>
          <w:p w14:paraId="0C2C5EA5" w14:textId="77777777" w:rsidR="008567FD" w:rsidRDefault="0013396B">
            <w:pPr>
              <w:ind w:left="211"/>
              <w:rPr>
                <w:rFonts w:ascii="Arial" w:eastAsia="Arial" w:hAnsi="Arial" w:cs="Arial"/>
                <w:sz w:val="24"/>
                <w:szCs w:val="24"/>
              </w:rPr>
            </w:pPr>
            <w:r>
              <w:rPr>
                <w:rFonts w:ascii="Arial" w:eastAsia="Arial" w:hAnsi="Arial" w:cs="Arial"/>
                <w:sz w:val="24"/>
                <w:szCs w:val="24"/>
              </w:rPr>
              <w:t>=</w:t>
            </w:r>
          </w:p>
        </w:tc>
        <w:tc>
          <w:tcPr>
            <w:tcW w:w="3966" w:type="dxa"/>
          </w:tcPr>
          <w:p w14:paraId="1D3794D8" w14:textId="77777777" w:rsidR="008567FD" w:rsidRDefault="0013396B">
            <w:pPr>
              <w:ind w:left="145"/>
              <w:rPr>
                <w:rFonts w:ascii="Arial" w:eastAsia="Arial" w:hAnsi="Arial" w:cs="Arial"/>
                <w:sz w:val="24"/>
                <w:szCs w:val="24"/>
              </w:rPr>
            </w:pPr>
            <w:r>
              <w:rPr>
                <w:rFonts w:ascii="Arial" w:eastAsia="Arial" w:hAnsi="Arial" w:cs="Arial"/>
                <w:sz w:val="24"/>
                <w:szCs w:val="24"/>
              </w:rPr>
              <w:t>23% of the Charges payable to the Buyer as Se</w:t>
            </w:r>
            <w:r>
              <w:rPr>
                <w:rFonts w:ascii="Arial" w:eastAsia="Arial" w:hAnsi="Arial" w:cs="Arial"/>
                <w:sz w:val="24"/>
                <w:szCs w:val="24"/>
              </w:rPr>
              <w:t>rvice Credits to be deducted from the next Invoice payable by the Buyer]</w:t>
            </w:r>
          </w:p>
          <w:p w14:paraId="7855DF15" w14:textId="77777777" w:rsidR="008567FD" w:rsidRDefault="008567FD">
            <w:pPr>
              <w:ind w:left="145"/>
              <w:rPr>
                <w:rFonts w:ascii="Arial" w:eastAsia="Arial" w:hAnsi="Arial" w:cs="Arial"/>
                <w:sz w:val="24"/>
                <w:szCs w:val="24"/>
              </w:rPr>
            </w:pPr>
          </w:p>
        </w:tc>
      </w:tr>
    </w:tbl>
    <w:p w14:paraId="1749A88C" w14:textId="77777777" w:rsidR="008567FD" w:rsidRDefault="0013396B">
      <w:pPr>
        <w:keepNext/>
        <w:pBdr>
          <w:top w:val="nil"/>
          <w:left w:val="nil"/>
          <w:bottom w:val="nil"/>
          <w:right w:val="nil"/>
          <w:between w:val="nil"/>
        </w:pBdr>
        <w:spacing w:after="240" w:line="240" w:lineRule="auto"/>
        <w:rPr>
          <w:rFonts w:ascii="Arial" w:eastAsia="Arial" w:hAnsi="Arial" w:cs="Arial"/>
          <w:b/>
          <w:smallCaps/>
          <w:color w:val="000000"/>
          <w:sz w:val="36"/>
          <w:szCs w:val="36"/>
        </w:rPr>
      </w:pPr>
      <w:r>
        <w:br w:type="page"/>
      </w:r>
      <w:r>
        <w:rPr>
          <w:rFonts w:ascii="Arial" w:eastAsia="Arial" w:hAnsi="Arial" w:cs="Arial"/>
          <w:b/>
          <w:color w:val="000000"/>
          <w:sz w:val="36"/>
          <w:szCs w:val="36"/>
        </w:rPr>
        <w:lastRenderedPageBreak/>
        <w:t xml:space="preserve">Part B: Performance Monitoring </w:t>
      </w:r>
    </w:p>
    <w:p w14:paraId="7FD3B210" w14:textId="77777777" w:rsidR="008567FD" w:rsidRDefault="0013396B">
      <w:pPr>
        <w:numPr>
          <w:ilvl w:val="0"/>
          <w:numId w:val="3"/>
        </w:numPr>
        <w:pBdr>
          <w:top w:val="nil"/>
          <w:left w:val="nil"/>
          <w:bottom w:val="nil"/>
          <w:right w:val="nil"/>
          <w:between w:val="nil"/>
        </w:pBdr>
        <w:tabs>
          <w:tab w:val="left" w:pos="142"/>
        </w:tabs>
        <w:spacing w:before="240" w:after="12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Performance Monitoring and Performance Review</w:t>
      </w:r>
    </w:p>
    <w:p w14:paraId="7762FA48" w14:textId="77777777" w:rsidR="008567FD" w:rsidRDefault="0013396B">
      <w:pPr>
        <w:numPr>
          <w:ilvl w:val="1"/>
          <w:numId w:val="3"/>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w:t>
      </w:r>
      <w:r>
        <w:rPr>
          <w:rFonts w:ascii="Arial" w:eastAsia="Arial" w:hAnsi="Arial" w:cs="Arial"/>
          <w:color w:val="000000"/>
          <w:sz w:val="24"/>
          <w:szCs w:val="24"/>
        </w:rPr>
        <w:t>h process as soon as reasonably possible.</w:t>
      </w:r>
    </w:p>
    <w:p w14:paraId="2B28A0B5" w14:textId="77777777" w:rsidR="008567FD" w:rsidRDefault="0013396B">
      <w:pPr>
        <w:keepNext/>
        <w:numPr>
          <w:ilvl w:val="1"/>
          <w:numId w:val="3"/>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provide the Buyer with performance monitoring reports ("</w:t>
      </w:r>
      <w:r>
        <w:rPr>
          <w:rFonts w:ascii="Arial" w:eastAsia="Arial" w:hAnsi="Arial" w:cs="Arial"/>
          <w:b/>
          <w:color w:val="000000"/>
          <w:sz w:val="24"/>
          <w:szCs w:val="24"/>
        </w:rPr>
        <w:t>Performance Monitoring Reports</w:t>
      </w:r>
      <w:r>
        <w:rPr>
          <w:rFonts w:ascii="Arial" w:eastAsia="Arial" w:hAnsi="Arial" w:cs="Arial"/>
          <w:color w:val="000000"/>
          <w:sz w:val="24"/>
          <w:szCs w:val="24"/>
        </w:rPr>
        <w:t xml:space="preserve">") in accordance with the process and timescales agreed pursuant to paragraph </w:t>
      </w:r>
      <w:r>
        <w:rPr>
          <w:rFonts w:ascii="Arial" w:eastAsia="Arial" w:hAnsi="Arial" w:cs="Arial"/>
          <w:sz w:val="24"/>
          <w:szCs w:val="24"/>
        </w:rPr>
        <w:t>1.1</w:t>
      </w:r>
      <w:r>
        <w:rPr>
          <w:rFonts w:ascii="Arial" w:eastAsia="Arial" w:hAnsi="Arial" w:cs="Arial"/>
          <w:color w:val="000000"/>
          <w:sz w:val="24"/>
          <w:szCs w:val="24"/>
        </w:rPr>
        <w:t xml:space="preserve"> of Part B of this Schedule </w:t>
      </w:r>
      <w:r>
        <w:rPr>
          <w:rFonts w:ascii="Arial" w:eastAsia="Arial" w:hAnsi="Arial" w:cs="Arial"/>
          <w:color w:val="000000"/>
          <w:sz w:val="24"/>
          <w:szCs w:val="24"/>
        </w:rPr>
        <w:t>which shall contain, as a minimum, the following information in respect of the relevant Service Period just ended:</w:t>
      </w:r>
    </w:p>
    <w:p w14:paraId="50A9FFAB" w14:textId="77777777" w:rsidR="008567FD" w:rsidRDefault="0013396B">
      <w:pPr>
        <w:numPr>
          <w:ilvl w:val="2"/>
          <w:numId w:val="3"/>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for each Service Level, the actual performance achieved over the Service Level for the relevant Service Period;</w:t>
      </w:r>
    </w:p>
    <w:p w14:paraId="24C21AA4" w14:textId="77777777" w:rsidR="008567FD" w:rsidRDefault="0013396B">
      <w:pPr>
        <w:numPr>
          <w:ilvl w:val="2"/>
          <w:numId w:val="3"/>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 summary of all failures to achieve Service Levels that occurred during that Service Period;</w:t>
      </w:r>
    </w:p>
    <w:p w14:paraId="4584BF0C" w14:textId="77777777" w:rsidR="008567FD" w:rsidRDefault="0013396B">
      <w:pPr>
        <w:numPr>
          <w:ilvl w:val="2"/>
          <w:numId w:val="3"/>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details of any Critical Service Level Failures;</w:t>
      </w:r>
    </w:p>
    <w:p w14:paraId="10A2156A" w14:textId="77777777" w:rsidR="008567FD" w:rsidRDefault="0013396B">
      <w:pPr>
        <w:numPr>
          <w:ilvl w:val="2"/>
          <w:numId w:val="3"/>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fo</w:t>
      </w:r>
      <w:r>
        <w:rPr>
          <w:rFonts w:ascii="Arial" w:eastAsia="Arial" w:hAnsi="Arial" w:cs="Arial"/>
          <w:color w:val="000000"/>
          <w:sz w:val="24"/>
          <w:szCs w:val="24"/>
        </w:rPr>
        <w:t>r any repeat failures, actions taken to resolve the underlying cause and prevent recurrence;</w:t>
      </w:r>
    </w:p>
    <w:p w14:paraId="351C461F" w14:textId="77777777" w:rsidR="008567FD" w:rsidRDefault="0013396B">
      <w:pPr>
        <w:numPr>
          <w:ilvl w:val="2"/>
          <w:numId w:val="3"/>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Service Credits to be applied in respect of the relevant period indicating the failures and Service Levels to which the Service Credits relate; and</w:t>
      </w:r>
    </w:p>
    <w:p w14:paraId="18BAD919" w14:textId="77777777" w:rsidR="008567FD" w:rsidRDefault="0013396B">
      <w:pPr>
        <w:numPr>
          <w:ilvl w:val="2"/>
          <w:numId w:val="3"/>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such other details as the Buyer may reasonably require from time to time.</w:t>
      </w:r>
    </w:p>
    <w:p w14:paraId="532752A5" w14:textId="77777777" w:rsidR="008567FD" w:rsidRDefault="0013396B">
      <w:pPr>
        <w:keepNext/>
        <w:numPr>
          <w:ilvl w:val="1"/>
          <w:numId w:val="3"/>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xml:space="preserve">") on a Monthly basis. The Performance Review Meetings will be the forum for </w:t>
      </w:r>
      <w:r>
        <w:rPr>
          <w:rFonts w:ascii="Arial" w:eastAsia="Arial" w:hAnsi="Arial" w:cs="Arial"/>
          <w:color w:val="000000"/>
          <w:sz w:val="24"/>
          <w:szCs w:val="24"/>
        </w:rPr>
        <w:t>the review by the Supplier and the Buyer of the Performance Monitoring Reports.  The Performance Review Meetings shall:</w:t>
      </w:r>
    </w:p>
    <w:p w14:paraId="269A777C" w14:textId="77777777" w:rsidR="008567FD" w:rsidRDefault="0013396B">
      <w:pPr>
        <w:numPr>
          <w:ilvl w:val="2"/>
          <w:numId w:val="3"/>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take place within one (1) week of the Performance Monitoring Reports being issued by the Supplier at such location and time (within norm</w:t>
      </w:r>
      <w:r>
        <w:rPr>
          <w:rFonts w:ascii="Arial" w:eastAsia="Arial" w:hAnsi="Arial" w:cs="Arial"/>
          <w:color w:val="000000"/>
          <w:sz w:val="24"/>
          <w:szCs w:val="24"/>
        </w:rPr>
        <w:t>al business hours) as the Buyer shall reasonably require;</w:t>
      </w:r>
    </w:p>
    <w:p w14:paraId="0EE686F9" w14:textId="77777777" w:rsidR="008567FD" w:rsidRDefault="0013396B">
      <w:pPr>
        <w:numPr>
          <w:ilvl w:val="2"/>
          <w:numId w:val="3"/>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be attended by the Supplier's Representative and the Buyer’s Representative; and</w:t>
      </w:r>
    </w:p>
    <w:p w14:paraId="3CD4B767" w14:textId="77777777" w:rsidR="008567FD" w:rsidRDefault="0013396B">
      <w:pPr>
        <w:numPr>
          <w:ilvl w:val="2"/>
          <w:numId w:val="3"/>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be fully </w:t>
      </w:r>
      <w:proofErr w:type="spellStart"/>
      <w:r>
        <w:rPr>
          <w:rFonts w:ascii="Arial" w:eastAsia="Arial" w:hAnsi="Arial" w:cs="Arial"/>
          <w:color w:val="000000"/>
          <w:sz w:val="24"/>
          <w:szCs w:val="24"/>
        </w:rPr>
        <w:t>minuted</w:t>
      </w:r>
      <w:proofErr w:type="spellEnd"/>
      <w:r>
        <w:rPr>
          <w:rFonts w:ascii="Arial" w:eastAsia="Arial" w:hAnsi="Arial" w:cs="Arial"/>
          <w:color w:val="000000"/>
          <w:sz w:val="24"/>
          <w:szCs w:val="24"/>
        </w:rPr>
        <w:t xml:space="preserve"> by the Supplier and the minutes will be circulated by the Supplier to all attendees at the relevant </w:t>
      </w:r>
      <w:r>
        <w:rPr>
          <w:rFonts w:ascii="Arial" w:eastAsia="Arial" w:hAnsi="Arial" w:cs="Arial"/>
          <w:color w:val="000000"/>
          <w:sz w:val="24"/>
          <w:szCs w:val="24"/>
        </w:rPr>
        <w:t xml:space="preserve">meeting and also to the Buyer’s Representative and any other recipients agreed at the relevant meeting.  </w:t>
      </w:r>
    </w:p>
    <w:p w14:paraId="478CC60E" w14:textId="77777777" w:rsidR="008567FD" w:rsidRDefault="0013396B">
      <w:pPr>
        <w:numPr>
          <w:ilvl w:val="1"/>
          <w:numId w:val="3"/>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The minutes of the preceding Month's Performance Review Meeting will be agreed and signed by both the Supplier's Representative and the Buyer’s Representative at each meeting.</w:t>
      </w:r>
    </w:p>
    <w:p w14:paraId="7E96E68B" w14:textId="77777777" w:rsidR="008567FD" w:rsidRDefault="0013396B">
      <w:pPr>
        <w:numPr>
          <w:ilvl w:val="1"/>
          <w:numId w:val="3"/>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provide to the Buyer such documentation as the Buyer may reas</w:t>
      </w:r>
      <w:r>
        <w:rPr>
          <w:rFonts w:ascii="Arial" w:eastAsia="Arial" w:hAnsi="Arial" w:cs="Arial"/>
          <w:color w:val="000000"/>
          <w:sz w:val="24"/>
          <w:szCs w:val="24"/>
        </w:rPr>
        <w:t>onably require in order to verify the level of the performance by the Supplier and the calculations of the amount of Service Credits for any specified Service Period.</w:t>
      </w:r>
    </w:p>
    <w:p w14:paraId="7E174C11" w14:textId="77777777" w:rsidR="008567FD" w:rsidRDefault="008567FD">
      <w:pPr>
        <w:pBdr>
          <w:top w:val="nil"/>
          <w:left w:val="nil"/>
          <w:bottom w:val="nil"/>
          <w:right w:val="nil"/>
          <w:between w:val="nil"/>
        </w:pBdr>
        <w:spacing w:before="120" w:after="120" w:line="240" w:lineRule="auto"/>
        <w:ind w:left="1440" w:hanging="576"/>
        <w:jc w:val="both"/>
        <w:rPr>
          <w:rFonts w:ascii="Arial" w:eastAsia="Arial" w:hAnsi="Arial" w:cs="Arial"/>
          <w:color w:val="000000"/>
          <w:sz w:val="24"/>
          <w:szCs w:val="24"/>
        </w:rPr>
      </w:pPr>
    </w:p>
    <w:p w14:paraId="5ECE25D4" w14:textId="77777777" w:rsidR="008567FD" w:rsidRDefault="0013396B">
      <w:pPr>
        <w:numPr>
          <w:ilvl w:val="0"/>
          <w:numId w:val="3"/>
        </w:numPr>
        <w:pBdr>
          <w:top w:val="nil"/>
          <w:left w:val="nil"/>
          <w:bottom w:val="nil"/>
          <w:right w:val="nil"/>
          <w:between w:val="nil"/>
        </w:pBdr>
        <w:tabs>
          <w:tab w:val="left" w:pos="142"/>
        </w:tabs>
        <w:spacing w:before="240" w:after="12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Satisfaction Surveys</w:t>
      </w:r>
    </w:p>
    <w:p w14:paraId="258E2762" w14:textId="77777777" w:rsidR="008567FD" w:rsidRDefault="0013396B">
      <w:pPr>
        <w:numPr>
          <w:ilvl w:val="1"/>
          <w:numId w:val="3"/>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may undertake satisfaction surveys in respect of the Supp</w:t>
      </w:r>
      <w:r>
        <w:rPr>
          <w:rFonts w:ascii="Arial" w:eastAsia="Arial" w:hAnsi="Arial" w:cs="Arial"/>
          <w:color w:val="000000"/>
          <w:sz w:val="24"/>
          <w:szCs w:val="24"/>
        </w:rPr>
        <w:t xml:space="preserve">lier's provision of the Deliverables. The Buyer shall be entitled to notify the Supplier of any aspects of their performance of the provision of the Deliverables which the responses to the Satisfaction Surveys reasonably suggest are not in accordance with </w:t>
      </w:r>
      <w:r>
        <w:rPr>
          <w:rFonts w:ascii="Arial" w:eastAsia="Arial" w:hAnsi="Arial" w:cs="Arial"/>
          <w:color w:val="000000"/>
          <w:sz w:val="24"/>
          <w:szCs w:val="24"/>
        </w:rPr>
        <w:t>this Contract.</w:t>
      </w:r>
    </w:p>
    <w:p w14:paraId="5989AD9F" w14:textId="77777777" w:rsidR="008567FD" w:rsidRDefault="008567FD">
      <w:pPr>
        <w:pBdr>
          <w:top w:val="nil"/>
          <w:left w:val="nil"/>
          <w:bottom w:val="nil"/>
          <w:right w:val="nil"/>
          <w:between w:val="nil"/>
        </w:pBdr>
        <w:spacing w:before="120" w:after="120" w:line="240" w:lineRule="auto"/>
        <w:ind w:left="936" w:hanging="576"/>
        <w:jc w:val="both"/>
        <w:rPr>
          <w:rFonts w:ascii="Arial" w:eastAsia="Arial" w:hAnsi="Arial" w:cs="Arial"/>
          <w:color w:val="000000"/>
          <w:sz w:val="24"/>
          <w:szCs w:val="24"/>
        </w:rPr>
      </w:pPr>
      <w:bookmarkStart w:id="1" w:name="_heading=h.gjdgxs" w:colFirst="0" w:colLast="0"/>
      <w:bookmarkEnd w:id="1"/>
    </w:p>
    <w:sectPr w:rsidR="008567FD">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F8199" w14:textId="77777777" w:rsidR="0013396B" w:rsidRDefault="0013396B">
      <w:pPr>
        <w:spacing w:after="0" w:line="240" w:lineRule="auto"/>
      </w:pPr>
      <w:r>
        <w:separator/>
      </w:r>
    </w:p>
  </w:endnote>
  <w:endnote w:type="continuationSeparator" w:id="0">
    <w:p w14:paraId="0A751A7D" w14:textId="77777777" w:rsidR="0013396B" w:rsidRDefault="001339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Tahoma">
    <w:panose1 w:val="020B0604030504040204"/>
    <w:charset w:val="00"/>
    <w:family w:val="roman"/>
    <w:notTrueType/>
    <w:pitch w:val="default"/>
  </w:font>
  <w:font w:name="Arial Bold">
    <w:panose1 w:val="020B0704020202020204"/>
    <w:charset w:val="00"/>
    <w:family w:val="roman"/>
    <w:notTrueType/>
    <w:pitch w:val="default"/>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C347C" w14:textId="77777777" w:rsidR="008567FD" w:rsidRDefault="008567FD">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34E4A" w14:textId="77777777" w:rsidR="008567FD" w:rsidRDefault="008567FD">
    <w:pPr>
      <w:tabs>
        <w:tab w:val="center" w:pos="4513"/>
        <w:tab w:val="right" w:pos="9026"/>
      </w:tabs>
      <w:spacing w:after="0" w:line="240" w:lineRule="auto"/>
      <w:jc w:val="both"/>
    </w:pPr>
  </w:p>
  <w:p w14:paraId="594F4D04" w14:textId="77777777" w:rsidR="008567FD" w:rsidRDefault="0013396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Framework Ref: </w:t>
    </w:r>
    <w:r>
      <w:rPr>
        <w:rFonts w:ascii="Arial" w:eastAsia="Arial" w:hAnsi="Arial" w:cs="Arial"/>
        <w:sz w:val="20"/>
        <w:szCs w:val="20"/>
      </w:rPr>
      <w:t xml:space="preserve">RM6361 Multifunctional Devices (MFDs), </w:t>
    </w:r>
    <w:proofErr w:type="spellStart"/>
    <w:r>
      <w:rPr>
        <w:rFonts w:ascii="Arial" w:eastAsia="Arial" w:hAnsi="Arial" w:cs="Arial"/>
        <w:sz w:val="20"/>
        <w:szCs w:val="20"/>
      </w:rPr>
      <w:t>GovPrint</w:t>
    </w:r>
    <w:proofErr w:type="spellEnd"/>
    <w:r>
      <w:rPr>
        <w:rFonts w:ascii="Arial" w:eastAsia="Arial" w:hAnsi="Arial" w:cs="Arial"/>
        <w:sz w:val="20"/>
        <w:szCs w:val="20"/>
      </w:rPr>
      <w:t xml:space="preserve"> Hardware, Managed Print Services and Digital Workflow Software Services</w:t>
    </w:r>
  </w:p>
  <w:p w14:paraId="524A6E04" w14:textId="77777777" w:rsidR="008567FD" w:rsidRDefault="0013396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6D32C3">
      <w:rPr>
        <w:rFonts w:ascii="Arial" w:eastAsia="Arial" w:hAnsi="Arial" w:cs="Arial"/>
        <w:noProof/>
        <w:sz w:val="20"/>
        <w:szCs w:val="20"/>
      </w:rPr>
      <w:t>1</w:t>
    </w:r>
    <w:r>
      <w:rPr>
        <w:rFonts w:ascii="Arial" w:eastAsia="Arial" w:hAnsi="Arial" w:cs="Arial"/>
        <w:sz w:val="20"/>
        <w:szCs w:val="20"/>
      </w:rPr>
      <w:fldChar w:fldCharType="end"/>
    </w:r>
  </w:p>
  <w:p w14:paraId="0C6B67F2" w14:textId="77777777" w:rsidR="008567FD" w:rsidRDefault="0013396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r>
      <w:rPr>
        <w:rFonts w:ascii="Arial" w:eastAsia="Arial" w:hAnsi="Arial" w:cs="Arial"/>
        <w:sz w:val="20"/>
        <w:szCs w:val="20"/>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34D49" w14:textId="77777777" w:rsidR="008567FD" w:rsidRDefault="008567FD">
    <w:pPr>
      <w:tabs>
        <w:tab w:val="center" w:pos="4513"/>
        <w:tab w:val="right" w:pos="9026"/>
      </w:tabs>
      <w:spacing w:after="0" w:line="240" w:lineRule="auto"/>
      <w:jc w:val="both"/>
    </w:pPr>
  </w:p>
  <w:p w14:paraId="42E8CF1F" w14:textId="77777777" w:rsidR="008567FD" w:rsidRDefault="0013396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color w:val="000000"/>
        <w:sz w:val="20"/>
        <w:szCs w:val="20"/>
      </w:rPr>
      <w:tab/>
      <w:t xml:space="preserve">                                           </w:t>
    </w:r>
  </w:p>
  <w:p w14:paraId="785EBDC9" w14:textId="77777777" w:rsidR="008567FD" w:rsidRDefault="0013396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p>
  <w:p w14:paraId="65A3CCF1" w14:textId="77777777" w:rsidR="008567FD" w:rsidRDefault="0013396B">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Model </w:t>
    </w:r>
    <w:proofErr w:type="gramStart"/>
    <w:r>
      <w:rPr>
        <w:rFonts w:ascii="Arial" w:eastAsia="Arial" w:hAnsi="Arial" w:cs="Arial"/>
        <w:color w:val="000000"/>
        <w:sz w:val="20"/>
        <w:szCs w:val="20"/>
      </w:rPr>
      <w:t>Version :</w:t>
    </w:r>
    <w:proofErr w:type="gramEnd"/>
    <w:r>
      <w:rPr>
        <w:rFonts w:ascii="Arial" w:eastAsia="Arial" w:hAnsi="Arial" w:cs="Arial"/>
        <w:color w:val="000000"/>
        <w:sz w:val="20"/>
        <w:szCs w:val="20"/>
      </w:rPr>
      <w:t xml:space="preserve"> v2.9</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BA16C" w14:textId="77777777" w:rsidR="0013396B" w:rsidRDefault="0013396B">
      <w:pPr>
        <w:spacing w:after="0" w:line="240" w:lineRule="auto"/>
      </w:pPr>
      <w:r>
        <w:separator/>
      </w:r>
    </w:p>
  </w:footnote>
  <w:footnote w:type="continuationSeparator" w:id="0">
    <w:p w14:paraId="4DC1938C" w14:textId="77777777" w:rsidR="0013396B" w:rsidRDefault="001339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48562" w14:textId="77777777" w:rsidR="008567FD" w:rsidRDefault="008567FD">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F171A" w14:textId="77777777" w:rsidR="008567FD" w:rsidRDefault="0013396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14 (Service Levels)</w:t>
    </w:r>
  </w:p>
  <w:p w14:paraId="4D262C31" w14:textId="77777777" w:rsidR="008567FD" w:rsidRDefault="0013396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4C7A3548" w14:textId="77777777" w:rsidR="008567FD" w:rsidRDefault="0013396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w:t>
    </w:r>
    <w:r>
      <w:rPr>
        <w:rFonts w:ascii="Arial" w:eastAsia="Arial" w:hAnsi="Arial" w:cs="Arial"/>
        <w:sz w:val="20"/>
        <w:szCs w:val="20"/>
      </w:rPr>
      <w:t>2023</w:t>
    </w:r>
  </w:p>
  <w:p w14:paraId="075AF110" w14:textId="77777777" w:rsidR="008567FD" w:rsidRDefault="008567FD">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825BB" w14:textId="77777777" w:rsidR="008567FD" w:rsidRDefault="008567FD">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F2E63"/>
    <w:multiLevelType w:val="multilevel"/>
    <w:tmpl w:val="8F2CF446"/>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CBC305C"/>
    <w:multiLevelType w:val="multilevel"/>
    <w:tmpl w:val="D70443A0"/>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5967B68"/>
    <w:multiLevelType w:val="multilevel"/>
    <w:tmpl w:val="4DE24294"/>
    <w:lvl w:ilvl="0">
      <w:start w:val="1"/>
      <w:numFmt w:val="decimal"/>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42D768AA"/>
    <w:multiLevelType w:val="multilevel"/>
    <w:tmpl w:val="1F80D68A"/>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708F7450"/>
    <w:multiLevelType w:val="multilevel"/>
    <w:tmpl w:val="038685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67FD"/>
    <w:rsid w:val="0013396B"/>
    <w:rsid w:val="006D32C3"/>
    <w:rsid w:val="008567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754E3"/>
  <w15:docId w15:val="{E2D85ED0-14EF-4008-BCCD-5C45CC8AC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69E0"/>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rsid w:val="000969E0"/>
    <w:pPr>
      <w:numPr>
        <w:numId w:val="5"/>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rsid w:val="000969E0"/>
    <w:pPr>
      <w:numPr>
        <w:ilvl w:val="2"/>
        <w:numId w:val="5"/>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rsid w:val="000969E0"/>
    <w:pPr>
      <w:numPr>
        <w:ilvl w:val="3"/>
      </w:numPr>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rsid w:val="000969E0"/>
    <w:pPr>
      <w:numPr>
        <w:ilvl w:val="1"/>
        <w:numId w:val="5"/>
      </w:numPr>
      <w:adjustRightInd w:val="0"/>
      <w:spacing w:before="120" w:after="120" w:line="240" w:lineRule="auto"/>
      <w:jc w:val="both"/>
    </w:pPr>
    <w:rPr>
      <w:rFonts w:eastAsia="Times New Roman" w:cs="Arial"/>
      <w:lang w:eastAsia="zh-CN"/>
    </w:rPr>
  </w:style>
  <w:style w:type="paragraph" w:customStyle="1" w:styleId="GPSL6numbered">
    <w:name w:val="GPS L6 numbered"/>
    <w:basedOn w:val="GPSL5numberedclause"/>
    <w:qFormat/>
    <w:rsid w:val="000969E0"/>
    <w:pPr>
      <w:numPr>
        <w:ilvl w:val="5"/>
      </w:numPr>
      <w:tabs>
        <w:tab w:val="num" w:pos="360"/>
        <w:tab w:val="left" w:pos="3686"/>
      </w:tabs>
    </w:pPr>
  </w:style>
  <w:style w:type="character" w:customStyle="1" w:styleId="GPSL3numberedclauseChar">
    <w:name w:val="GPS L3 numbered clause Char"/>
    <w:link w:val="GPSL3numberedclause"/>
    <w:locked/>
    <w:rPr>
      <w:rFonts w:eastAsia="Times New Roman"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eastAsia="Times New Roman"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eastAsia="STZhongsong"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rsid w:val="000969E0"/>
    <w:pPr>
      <w:tabs>
        <w:tab w:val="left" w:pos="-9"/>
        <w:tab w:val="num" w:pos="720"/>
      </w:tabs>
      <w:overflowPunct w:val="0"/>
      <w:autoSpaceDE w:val="0"/>
      <w:autoSpaceDN w:val="0"/>
      <w:adjustRightInd w:val="0"/>
      <w:spacing w:after="120" w:line="240" w:lineRule="auto"/>
      <w:ind w:left="720" w:hanging="720"/>
      <w:jc w:val="both"/>
      <w:textAlignment w:val="baseline"/>
    </w:pPr>
    <w:rPr>
      <w:rFonts w:ascii="Arial" w:eastAsia="Times New Roman" w:hAnsi="Arial" w:cs="Arial"/>
    </w:rPr>
  </w:style>
  <w:style w:type="paragraph" w:customStyle="1" w:styleId="GPSDefinitionL2">
    <w:name w:val="GPS Definition L2"/>
    <w:basedOn w:val="GPsDefinition"/>
    <w:qFormat/>
    <w:rsid w:val="000969E0"/>
    <w:pPr>
      <w:numPr>
        <w:ilvl w:val="1"/>
      </w:numPr>
      <w:tabs>
        <w:tab w:val="clear" w:pos="-9"/>
        <w:tab w:val="left" w:pos="144"/>
        <w:tab w:val="num" w:pos="720"/>
      </w:tabs>
      <w:ind w:left="720" w:hanging="720"/>
    </w:pPr>
  </w:style>
  <w:style w:type="paragraph" w:customStyle="1" w:styleId="GPSDefinitionL3">
    <w:name w:val="GPS Definition L3"/>
    <w:basedOn w:val="GPSDefinitionL2"/>
    <w:qFormat/>
    <w:pPr>
      <w:numPr>
        <w:ilvl w:val="2"/>
      </w:numPr>
      <w:tabs>
        <w:tab w:val="num" w:pos="720"/>
      </w:tabs>
      <w:ind w:left="720" w:hanging="720"/>
    </w:pPr>
  </w:style>
  <w:style w:type="paragraph" w:customStyle="1" w:styleId="GPSDefinitionL4">
    <w:name w:val="GPS Definition L4"/>
    <w:basedOn w:val="GPSDefinitionL3"/>
    <w:qFormat/>
    <w:pPr>
      <w:numPr>
        <w:ilvl w:val="3"/>
      </w:numPr>
      <w:tabs>
        <w:tab w:val="num" w:pos="720"/>
      </w:tabs>
      <w:ind w:left="720" w:hanging="72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rsid w:val="000969E0"/>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0969E0"/>
    <w:pPr>
      <w:spacing w:after="0" w:line="240" w:lineRule="auto"/>
    </w:pPr>
    <w:rPr>
      <w:rFonts w:cs="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character" w:styleId="Hyperlink">
    <w:name w:val="Hyperlink"/>
    <w:uiPriority w:val="99"/>
    <w:rsid w:val="000969E0"/>
    <w:rPr>
      <w:color w:val="0000FF"/>
      <w:u w:val="single"/>
    </w:r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8">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9">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a">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b">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c">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d">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e">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f">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f0">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f1">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f2">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f3">
    <w:basedOn w:val="TableNormal"/>
    <w:pPr>
      <w:spacing w:after="0" w:line="240" w:lineRule="auto"/>
    </w:pPr>
    <w:rPr>
      <w:sz w:val="20"/>
      <w:szCs w:val="20"/>
    </w:rPr>
    <w:tblPr>
      <w:tblStyleRowBandSize w:val="1"/>
      <w:tblStyleColBandSize w:val="1"/>
      <w:tblCellMar>
        <w:top w:w="100" w:type="dxa"/>
        <w:left w:w="115" w:type="dxa"/>
        <w:bottom w:w="100" w:type="dxa"/>
        <w:right w:w="115" w:type="dxa"/>
      </w:tblCellMar>
    </w:tblPr>
  </w:style>
  <w:style w:type="table" w:customStyle="1" w:styleId="af4">
    <w:basedOn w:val="TableNormal"/>
    <w:pPr>
      <w:spacing w:after="0" w:line="240" w:lineRule="auto"/>
    </w:pPr>
    <w:rPr>
      <w:sz w:val="20"/>
      <w:szCs w:val="20"/>
    </w:rPr>
    <w:tblPr>
      <w:tblStyleRowBandSize w:val="1"/>
      <w:tblStyleColBandSize w:val="1"/>
      <w:tblCellMar>
        <w:top w:w="100" w:type="dxa"/>
        <w:left w:w="115" w:type="dxa"/>
        <w:bottom w:w="100" w:type="dxa"/>
        <w:right w:w="115" w:type="dxa"/>
      </w:tblCellMar>
    </w:tblPr>
  </w:style>
  <w:style w:type="table" w:customStyle="1" w:styleId="af5">
    <w:basedOn w:val="TableNormal"/>
    <w:pPr>
      <w:spacing w:after="0" w:line="240" w:lineRule="auto"/>
    </w:pPr>
    <w:rPr>
      <w:sz w:val="20"/>
      <w:szCs w:val="20"/>
    </w:rPr>
    <w:tblPr>
      <w:tblStyleRowBandSize w:val="1"/>
      <w:tblStyleColBandSize w:val="1"/>
      <w:tblCellMar>
        <w:top w:w="100" w:type="dxa"/>
        <w:left w:w="115" w:type="dxa"/>
        <w:bottom w:w="100" w:type="dxa"/>
        <w:right w:w="115" w:type="dxa"/>
      </w:tblCellMar>
    </w:tblPr>
  </w:style>
  <w:style w:type="table" w:customStyle="1" w:styleId="af6">
    <w:basedOn w:val="TableNormal"/>
    <w:pPr>
      <w:spacing w:after="0" w:line="240" w:lineRule="auto"/>
    </w:pPr>
    <w:rPr>
      <w:sz w:val="20"/>
      <w:szCs w:val="20"/>
    </w:rPr>
    <w:tblPr>
      <w:tblStyleRowBandSize w:val="1"/>
      <w:tblStyleColBandSize w:val="1"/>
      <w:tblCellMar>
        <w:top w:w="100" w:type="dxa"/>
        <w:left w:w="115" w:type="dxa"/>
        <w:bottom w:w="10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the-sourcing-and-consultancy-playbook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5pB+jmDHce8UOMqKlxcIVLqPDHA==">CgMxLjAyCWguMzBqMHpsbDIIaC5namRneHM4AHIhMXN1WmRMcktlSHRqN2o3bUdGaTJkTFFfLWF2X2hONksw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1703</Words>
  <Characters>9712</Characters>
  <Application>Microsoft Office Word</Application>
  <DocSecurity>0</DocSecurity>
  <Lines>80</Lines>
  <Paragraphs>22</Paragraphs>
  <ScaleCrop>false</ScaleCrop>
  <Company/>
  <LinksUpToDate>false</LinksUpToDate>
  <CharactersWithSpaces>11393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Leila Lynch</cp:lastModifiedBy>
  <cp:revision>2</cp:revision>
  <dcterms:created xsi:type="dcterms:W3CDTF">2025-02-05T14:34:00Z</dcterms:created>
  <dcterms:modified xsi:type="dcterms:W3CDTF">2025-02-05T14:34:00Z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